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87" w:rsidRPr="00582286" w:rsidRDefault="00632C87" w:rsidP="00D74E6F">
      <w:pPr>
        <w:pStyle w:val="Senseespaiat"/>
        <w:spacing w:before="120" w:after="240"/>
        <w:rPr>
          <w:rFonts w:ascii="Century Gothic" w:eastAsiaTheme="majorEastAsia" w:hAnsi="Century Gothic" w:cstheme="majorBidi"/>
          <w:b/>
          <w:sz w:val="24"/>
          <w:szCs w:val="24"/>
          <w:lang w:val="ca-ES"/>
        </w:rPr>
      </w:pPr>
      <w:r w:rsidRPr="00582286">
        <w:rPr>
          <w:rFonts w:ascii="Century Gothic" w:eastAsiaTheme="majorEastAsia" w:hAnsi="Century Gothic" w:cstheme="majorBidi"/>
          <w:b/>
          <w:sz w:val="24"/>
          <w:szCs w:val="24"/>
          <w:lang w:val="ca-ES"/>
        </w:rPr>
        <w:t>(cat)</w:t>
      </w:r>
    </w:p>
    <w:p w:rsidR="00D74E6F" w:rsidRPr="00EE6A7D" w:rsidRDefault="00D74E6F" w:rsidP="00D74E6F">
      <w:pPr>
        <w:pStyle w:val="Senseespaiat"/>
        <w:spacing w:before="120" w:after="240"/>
        <w:rPr>
          <w:rFonts w:ascii="Century Gothic" w:eastAsiaTheme="majorEastAsia" w:hAnsi="Century Gothic" w:cstheme="majorBidi"/>
          <w:b/>
          <w:color w:val="0099CC"/>
          <w:sz w:val="36"/>
          <w:szCs w:val="36"/>
          <w:lang w:val="ca-ES"/>
        </w:rPr>
      </w:pPr>
      <w:r w:rsidRPr="00EE6A7D">
        <w:rPr>
          <w:rFonts w:ascii="Century Gothic" w:eastAsiaTheme="majorEastAsia" w:hAnsi="Century Gothic" w:cstheme="majorBidi"/>
          <w:b/>
          <w:color w:val="0099CC"/>
          <w:sz w:val="36"/>
          <w:szCs w:val="36"/>
          <w:lang w:val="ca-ES"/>
        </w:rPr>
        <w:t>L’Observatori</w:t>
      </w:r>
      <w:r>
        <w:rPr>
          <w:rFonts w:ascii="Century Gothic" w:eastAsiaTheme="majorEastAsia" w:hAnsi="Century Gothic" w:cstheme="majorBidi"/>
          <w:b/>
          <w:color w:val="0099CC"/>
          <w:sz w:val="36"/>
          <w:szCs w:val="36"/>
          <w:lang w:val="ca-ES"/>
        </w:rPr>
        <w:t xml:space="preserve"> de la Tordera</w:t>
      </w:r>
      <w:r w:rsidRPr="00EE6A7D">
        <w:rPr>
          <w:rFonts w:ascii="Century Gothic" w:eastAsiaTheme="majorEastAsia" w:hAnsi="Century Gothic" w:cstheme="majorBidi"/>
          <w:b/>
          <w:color w:val="0099CC"/>
          <w:sz w:val="36"/>
          <w:szCs w:val="36"/>
          <w:lang w:val="ca-ES"/>
        </w:rPr>
        <w:t>: seguiment d’indicadors socioecològics en conques fluvials mediterrànies</w:t>
      </w:r>
    </w:p>
    <w:p w:rsidR="00632C87" w:rsidRPr="00653141" w:rsidRDefault="00D74E6F" w:rsidP="00D74E6F">
      <w:pPr>
        <w:autoSpaceDE w:val="0"/>
        <w:autoSpaceDN w:val="0"/>
        <w:adjustRightInd w:val="0"/>
        <w:spacing w:before="120" w:after="120" w:line="360" w:lineRule="auto"/>
        <w:jc w:val="both"/>
        <w:rPr>
          <w:rFonts w:cs="Arial"/>
          <w:lang w:bidi="ks-Deva"/>
        </w:rPr>
      </w:pPr>
      <w:r w:rsidRPr="00653141">
        <w:rPr>
          <w:rFonts w:cs="Arial"/>
          <w:lang w:bidi="ks-Deva"/>
        </w:rPr>
        <w:t xml:space="preserve">L’Observatori de la Tordera és un projecte interdisciplinari vinculat al grup de recerca </w:t>
      </w:r>
      <w:hyperlink r:id="rId5" w:history="1">
        <w:r w:rsidRPr="00DF0DB7">
          <w:rPr>
            <w:rStyle w:val="Enlla"/>
            <w:rFonts w:cs="Arial"/>
            <w:i/>
            <w:lang w:bidi="ks-Deva"/>
          </w:rPr>
          <w:t>Biodiversitat, Canvi Global i Conservació</w:t>
        </w:r>
        <w:r w:rsidRPr="00DF0DB7">
          <w:rPr>
            <w:rStyle w:val="Enlla"/>
            <w:rFonts w:cs="Arial"/>
            <w:lang w:bidi="ks-Deva"/>
          </w:rPr>
          <w:t xml:space="preserve"> (</w:t>
        </w:r>
        <w:proofErr w:type="spellStart"/>
        <w:r w:rsidRPr="00DF0DB7">
          <w:rPr>
            <w:rStyle w:val="Enlla"/>
            <w:rFonts w:cs="Arial"/>
            <w:i/>
            <w:lang w:bidi="ks-Deva"/>
          </w:rPr>
          <w:t>Nycticorax</w:t>
        </w:r>
        <w:proofErr w:type="spellEnd"/>
        <w:r w:rsidRPr="00DF0DB7">
          <w:rPr>
            <w:rStyle w:val="Enlla"/>
            <w:rFonts w:cs="Arial"/>
            <w:lang w:bidi="ks-Deva"/>
          </w:rPr>
          <w:t>)</w:t>
        </w:r>
      </w:hyperlink>
      <w:r w:rsidRPr="00653141">
        <w:rPr>
          <w:rFonts w:cs="Arial"/>
          <w:lang w:bidi="ks-Deva"/>
        </w:rPr>
        <w:t xml:space="preserve"> de l’ICTA-UAB, iniciat el 1996 amb l’objectiu principal de definir indicadors de l’estat dels ecosistemes fluvials i realitzar-ne el seu seguiment a mitjà i llarg termini</w:t>
      </w:r>
      <w:r w:rsidR="00632C87" w:rsidRPr="00653141">
        <w:rPr>
          <w:rFonts w:cs="Arial"/>
          <w:lang w:bidi="ks-Deva"/>
        </w:rPr>
        <w:t>.</w:t>
      </w:r>
    </w:p>
    <w:p w:rsidR="00D74E6F" w:rsidRPr="00653141" w:rsidRDefault="00D74E6F" w:rsidP="00D74E6F">
      <w:pPr>
        <w:autoSpaceDE w:val="0"/>
        <w:autoSpaceDN w:val="0"/>
        <w:adjustRightInd w:val="0"/>
        <w:spacing w:before="120" w:after="120" w:line="360" w:lineRule="auto"/>
        <w:jc w:val="both"/>
        <w:rPr>
          <w:rFonts w:cs="Arial"/>
          <w:lang w:bidi="ks-Deva"/>
        </w:rPr>
      </w:pPr>
      <w:r w:rsidRPr="00653141">
        <w:rPr>
          <w:rFonts w:cs="Arial"/>
          <w:lang w:bidi="ks-Deva"/>
        </w:rPr>
        <w:t>El monitoratge i l’obtenció de dades de l’estat de qualitat dels sistemes aquàtics a mitjà i llarg termini esdevenen fonamentals per al coneixement i la detecció de canvis en l’àmbit de les conques fluvials, alhora que permeten establir mesures de gestió</w:t>
      </w:r>
      <w:r w:rsidRPr="00653141">
        <w:t xml:space="preserve">. </w:t>
      </w:r>
      <w:r w:rsidR="00632C87" w:rsidRPr="00653141">
        <w:rPr>
          <w:rFonts w:cs="Arial"/>
          <w:lang w:bidi="ks-Deva"/>
        </w:rPr>
        <w:t xml:space="preserve">La recerca es focalitza en el </w:t>
      </w:r>
      <w:r w:rsidRPr="00653141">
        <w:rPr>
          <w:rFonts w:cs="Arial"/>
          <w:lang w:bidi="ks-Deva"/>
        </w:rPr>
        <w:t xml:space="preserve">registre continuat d’indicadors biològics, hidrològics, </w:t>
      </w:r>
      <w:proofErr w:type="spellStart"/>
      <w:r w:rsidRPr="00653141">
        <w:rPr>
          <w:rFonts w:cs="Arial"/>
          <w:lang w:bidi="ks-Deva"/>
        </w:rPr>
        <w:t>hidromorfològics</w:t>
      </w:r>
      <w:proofErr w:type="spellEnd"/>
      <w:r w:rsidRPr="00653141">
        <w:rPr>
          <w:rFonts w:cs="Arial"/>
          <w:lang w:bidi="ks-Deva"/>
        </w:rPr>
        <w:t xml:space="preserve"> i fisicoquímics per tal d’obtenir sèries prolongades en el temps que permetin avaluar sistemàticament l’estat de qualitat en el context de la Directiva Marc de l’Aigua (DMA), així com interpretar processos de canvi en la dinàmica dels ecosistemes fluvials. </w:t>
      </w:r>
    </w:p>
    <w:p w:rsidR="00042F43" w:rsidRDefault="00D74E6F" w:rsidP="00D74E6F">
      <w:pPr>
        <w:autoSpaceDE w:val="0"/>
        <w:autoSpaceDN w:val="0"/>
        <w:adjustRightInd w:val="0"/>
        <w:spacing w:before="120" w:after="120" w:line="360" w:lineRule="auto"/>
        <w:jc w:val="both"/>
        <w:rPr>
          <w:rFonts w:cs="Arial"/>
          <w:lang w:bidi="ks-Deva"/>
        </w:rPr>
      </w:pPr>
      <w:r w:rsidRPr="00653141">
        <w:rPr>
          <w:rFonts w:cs="Arial"/>
          <w:lang w:bidi="ks-Deva"/>
        </w:rPr>
        <w:t>De manera transversal, el Programa d’Educació Ambiental, Comunicació i Formació (PROECA), creat el 2004, té la finalitat de fomentar la participació, promoure els processos d’aprenentatge social i fer transcendir i difondre els resultats obtinguts a les diferents línies de recerca de L’Observatori a tots els àmbits socials: a nivell de ciutadania, a nivell científic i acadèmic i a nivell governamental.</w:t>
      </w:r>
    </w:p>
    <w:p w:rsidR="00632C87" w:rsidRDefault="00632C87" w:rsidP="00D74E6F">
      <w:pPr>
        <w:autoSpaceDE w:val="0"/>
        <w:autoSpaceDN w:val="0"/>
        <w:adjustRightInd w:val="0"/>
        <w:spacing w:before="120" w:after="120" w:line="360" w:lineRule="auto"/>
        <w:jc w:val="both"/>
        <w:rPr>
          <w:rFonts w:cs="Arial"/>
          <w:lang w:bidi="ks-Deva"/>
        </w:rPr>
      </w:pPr>
    </w:p>
    <w:p w:rsidR="00C47A5A" w:rsidRDefault="00C47A5A" w:rsidP="00D74E6F">
      <w:pPr>
        <w:autoSpaceDE w:val="0"/>
        <w:autoSpaceDN w:val="0"/>
        <w:adjustRightInd w:val="0"/>
        <w:spacing w:before="120" w:after="120" w:line="360" w:lineRule="auto"/>
        <w:jc w:val="both"/>
        <w:rPr>
          <w:rFonts w:cs="Arial"/>
          <w:lang w:bidi="ks-Deva"/>
        </w:rPr>
      </w:pPr>
    </w:p>
    <w:p w:rsidR="00C47A5A" w:rsidRDefault="00C47A5A"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Default="00632C87" w:rsidP="00D74E6F">
      <w:pPr>
        <w:autoSpaceDE w:val="0"/>
        <w:autoSpaceDN w:val="0"/>
        <w:adjustRightInd w:val="0"/>
        <w:spacing w:before="120" w:after="120" w:line="360" w:lineRule="auto"/>
        <w:jc w:val="both"/>
        <w:rPr>
          <w:rFonts w:cs="Arial"/>
          <w:lang w:bidi="ks-Deva"/>
        </w:rPr>
      </w:pPr>
    </w:p>
    <w:p w:rsidR="00632C87" w:rsidRPr="00582286" w:rsidRDefault="00582286" w:rsidP="00632C87">
      <w:pPr>
        <w:pStyle w:val="Senseespaiat"/>
        <w:spacing w:before="120" w:after="240"/>
        <w:rPr>
          <w:rFonts w:ascii="Century Gothic" w:eastAsiaTheme="majorEastAsia" w:hAnsi="Century Gothic" w:cstheme="majorBidi"/>
          <w:b/>
          <w:sz w:val="24"/>
          <w:szCs w:val="24"/>
        </w:rPr>
      </w:pPr>
      <w:r>
        <w:rPr>
          <w:rFonts w:ascii="Century Gothic" w:eastAsiaTheme="majorEastAsia" w:hAnsi="Century Gothic" w:cstheme="majorBidi"/>
          <w:b/>
          <w:sz w:val="24"/>
          <w:szCs w:val="24"/>
        </w:rPr>
        <w:lastRenderedPageBreak/>
        <w:t>(</w:t>
      </w:r>
      <w:proofErr w:type="spellStart"/>
      <w:r>
        <w:rPr>
          <w:rFonts w:ascii="Century Gothic" w:eastAsiaTheme="majorEastAsia" w:hAnsi="Century Gothic" w:cstheme="majorBidi"/>
          <w:b/>
          <w:sz w:val="24"/>
          <w:szCs w:val="24"/>
        </w:rPr>
        <w:t>esp</w:t>
      </w:r>
      <w:proofErr w:type="spellEnd"/>
      <w:r w:rsidR="00632C87" w:rsidRPr="00582286">
        <w:rPr>
          <w:rFonts w:ascii="Century Gothic" w:eastAsiaTheme="majorEastAsia" w:hAnsi="Century Gothic" w:cstheme="majorBidi"/>
          <w:b/>
          <w:sz w:val="24"/>
          <w:szCs w:val="24"/>
        </w:rPr>
        <w:t>)</w:t>
      </w:r>
    </w:p>
    <w:p w:rsidR="00632C87" w:rsidRPr="00632C87" w:rsidRDefault="00632C87" w:rsidP="00632C87">
      <w:pPr>
        <w:pStyle w:val="Senseespaiat"/>
        <w:spacing w:before="120" w:after="240"/>
        <w:rPr>
          <w:rFonts w:ascii="Century Gothic" w:eastAsiaTheme="majorEastAsia" w:hAnsi="Century Gothic" w:cstheme="majorBidi"/>
          <w:b/>
          <w:color w:val="0099CC"/>
          <w:sz w:val="36"/>
          <w:szCs w:val="36"/>
        </w:rPr>
      </w:pPr>
      <w:proofErr w:type="spellStart"/>
      <w:r w:rsidRPr="00632C87">
        <w:rPr>
          <w:rFonts w:ascii="Century Gothic" w:eastAsiaTheme="majorEastAsia" w:hAnsi="Century Gothic" w:cstheme="majorBidi"/>
          <w:b/>
          <w:i/>
          <w:color w:val="0099CC"/>
          <w:sz w:val="36"/>
          <w:szCs w:val="36"/>
        </w:rPr>
        <w:t>L’Observatori</w:t>
      </w:r>
      <w:proofErr w:type="spellEnd"/>
      <w:r w:rsidRPr="00632C87">
        <w:rPr>
          <w:rFonts w:ascii="Century Gothic" w:eastAsiaTheme="majorEastAsia" w:hAnsi="Century Gothic" w:cstheme="majorBidi"/>
          <w:b/>
          <w:i/>
          <w:color w:val="0099CC"/>
          <w:sz w:val="36"/>
          <w:szCs w:val="36"/>
        </w:rPr>
        <w:t xml:space="preserve"> de la </w:t>
      </w:r>
      <w:proofErr w:type="spellStart"/>
      <w:r w:rsidRPr="00632C87">
        <w:rPr>
          <w:rFonts w:ascii="Century Gothic" w:eastAsiaTheme="majorEastAsia" w:hAnsi="Century Gothic" w:cstheme="majorBidi"/>
          <w:b/>
          <w:i/>
          <w:color w:val="0099CC"/>
          <w:sz w:val="36"/>
          <w:szCs w:val="36"/>
        </w:rPr>
        <w:t>Tordera</w:t>
      </w:r>
      <w:proofErr w:type="spellEnd"/>
      <w:r w:rsidRPr="00632C87">
        <w:rPr>
          <w:rFonts w:ascii="Century Gothic" w:eastAsiaTheme="majorEastAsia" w:hAnsi="Century Gothic" w:cstheme="majorBidi"/>
          <w:b/>
          <w:color w:val="0099CC"/>
          <w:sz w:val="36"/>
          <w:szCs w:val="36"/>
        </w:rPr>
        <w:t xml:space="preserve">: seguimiento de indicadores </w:t>
      </w:r>
      <w:proofErr w:type="spellStart"/>
      <w:r w:rsidRPr="00632C87">
        <w:rPr>
          <w:rFonts w:ascii="Century Gothic" w:eastAsiaTheme="majorEastAsia" w:hAnsi="Century Gothic" w:cstheme="majorBidi"/>
          <w:b/>
          <w:color w:val="0099CC"/>
          <w:sz w:val="36"/>
          <w:szCs w:val="36"/>
        </w:rPr>
        <w:t>socioecológicos</w:t>
      </w:r>
      <w:proofErr w:type="spellEnd"/>
      <w:r w:rsidRPr="00632C87">
        <w:rPr>
          <w:rFonts w:ascii="Century Gothic" w:eastAsiaTheme="majorEastAsia" w:hAnsi="Century Gothic" w:cstheme="majorBidi"/>
          <w:b/>
          <w:color w:val="0099CC"/>
          <w:sz w:val="36"/>
          <w:szCs w:val="36"/>
        </w:rPr>
        <w:t xml:space="preserve"> en cuen</w:t>
      </w:r>
      <w:r w:rsidR="008E7C23">
        <w:rPr>
          <w:rFonts w:ascii="Century Gothic" w:eastAsiaTheme="majorEastAsia" w:hAnsi="Century Gothic" w:cstheme="majorBidi"/>
          <w:b/>
          <w:color w:val="0099CC"/>
          <w:sz w:val="36"/>
          <w:szCs w:val="36"/>
        </w:rPr>
        <w:t>c</w:t>
      </w:r>
      <w:r w:rsidRPr="00632C87">
        <w:rPr>
          <w:rFonts w:ascii="Century Gothic" w:eastAsiaTheme="majorEastAsia" w:hAnsi="Century Gothic" w:cstheme="majorBidi"/>
          <w:b/>
          <w:color w:val="0099CC"/>
          <w:sz w:val="36"/>
          <w:szCs w:val="36"/>
        </w:rPr>
        <w:t>as fluviales mediterráneas</w:t>
      </w:r>
    </w:p>
    <w:p w:rsidR="00632C87" w:rsidRPr="00653141" w:rsidRDefault="00632C87" w:rsidP="00632C87">
      <w:pPr>
        <w:autoSpaceDE w:val="0"/>
        <w:autoSpaceDN w:val="0"/>
        <w:adjustRightInd w:val="0"/>
        <w:spacing w:before="120" w:after="120" w:line="360" w:lineRule="auto"/>
        <w:jc w:val="both"/>
        <w:rPr>
          <w:rFonts w:cs="Arial"/>
          <w:lang w:val="es-ES" w:bidi="ks-Deva"/>
        </w:rPr>
      </w:pPr>
      <w:proofErr w:type="spellStart"/>
      <w:r w:rsidRPr="00653141">
        <w:rPr>
          <w:rFonts w:cs="Arial"/>
          <w:i/>
          <w:lang w:val="es-ES" w:bidi="ks-Deva"/>
        </w:rPr>
        <w:t>L’Observatori</w:t>
      </w:r>
      <w:proofErr w:type="spellEnd"/>
      <w:r w:rsidRPr="00653141">
        <w:rPr>
          <w:rFonts w:cs="Arial"/>
          <w:i/>
          <w:lang w:val="es-ES" w:bidi="ks-Deva"/>
        </w:rPr>
        <w:t xml:space="preserve"> de la </w:t>
      </w:r>
      <w:proofErr w:type="spellStart"/>
      <w:r w:rsidRPr="00653141">
        <w:rPr>
          <w:rFonts w:cs="Arial"/>
          <w:i/>
          <w:lang w:val="es-ES" w:bidi="ks-Deva"/>
        </w:rPr>
        <w:t>Tordera</w:t>
      </w:r>
      <w:proofErr w:type="spellEnd"/>
      <w:r w:rsidRPr="00653141">
        <w:rPr>
          <w:rFonts w:cs="Arial"/>
          <w:lang w:val="es-ES" w:bidi="ks-Deva"/>
        </w:rPr>
        <w:t xml:space="preserve"> es un proyecto interdisciplinario vinculado al grupo de investigación </w:t>
      </w:r>
      <w:hyperlink r:id="rId6" w:history="1">
        <w:r w:rsidRPr="00DF0DB7">
          <w:rPr>
            <w:rStyle w:val="Enlla"/>
            <w:rFonts w:cs="Arial"/>
            <w:i/>
            <w:lang w:val="es-ES" w:bidi="ks-Deva"/>
          </w:rPr>
          <w:t>Biodiversidad, Cambio Global y Conservación (</w:t>
        </w:r>
        <w:proofErr w:type="spellStart"/>
        <w:r w:rsidRPr="00DF0DB7">
          <w:rPr>
            <w:rStyle w:val="Enlla"/>
            <w:rFonts w:cs="Arial"/>
            <w:i/>
            <w:lang w:val="es-ES" w:bidi="ks-Deva"/>
          </w:rPr>
          <w:t>Nycticorax</w:t>
        </w:r>
        <w:proofErr w:type="spellEnd"/>
        <w:r w:rsidRPr="00DF0DB7">
          <w:rPr>
            <w:rStyle w:val="Enlla"/>
            <w:rFonts w:cs="Arial"/>
            <w:i/>
            <w:lang w:val="es-ES" w:bidi="ks-Deva"/>
          </w:rPr>
          <w:t>)</w:t>
        </w:r>
      </w:hyperlink>
      <w:r w:rsidRPr="00653141">
        <w:rPr>
          <w:rFonts w:cs="Arial"/>
          <w:lang w:val="es-ES" w:bidi="ks-Deva"/>
        </w:rPr>
        <w:t xml:space="preserve"> del ICTA-UAB, iniciado en 1996 con el objetivo principal de definir indicadores del estado de los ecosistemas fluviales y realizar su seguimiento a medio y largo plazo.</w:t>
      </w:r>
    </w:p>
    <w:p w:rsidR="00632C87" w:rsidRPr="00653141" w:rsidRDefault="00632C87" w:rsidP="00632C87">
      <w:pPr>
        <w:autoSpaceDE w:val="0"/>
        <w:autoSpaceDN w:val="0"/>
        <w:adjustRightInd w:val="0"/>
        <w:spacing w:before="120" w:after="120" w:line="360" w:lineRule="auto"/>
        <w:jc w:val="both"/>
        <w:rPr>
          <w:rFonts w:cs="Arial"/>
          <w:lang w:val="es-ES" w:bidi="ks-Deva"/>
        </w:rPr>
      </w:pPr>
      <w:r w:rsidRPr="00653141">
        <w:rPr>
          <w:rFonts w:cs="Arial"/>
          <w:lang w:val="es-ES" w:bidi="ks-Deva"/>
        </w:rPr>
        <w:t xml:space="preserve">El monitoreo y la obtención de datos del estado de calidad de los sistemas acuáticos a medio y largo plazo son fundamentales para el conocimiento y la detección de cambios en el ámbito de las cuencas fluviales, a la vez que permiten establecer medidas de gestión. La investigación se focaliza en el registro continuado de indicadores biológicos, hidrológicos, </w:t>
      </w:r>
      <w:proofErr w:type="spellStart"/>
      <w:r w:rsidRPr="00653141">
        <w:rPr>
          <w:rFonts w:cs="Arial"/>
          <w:lang w:val="es-ES" w:bidi="ks-Deva"/>
        </w:rPr>
        <w:t>hidromorfológicos</w:t>
      </w:r>
      <w:proofErr w:type="spellEnd"/>
      <w:r w:rsidRPr="00653141">
        <w:rPr>
          <w:rFonts w:cs="Arial"/>
          <w:lang w:val="es-ES" w:bidi="ks-Deva"/>
        </w:rPr>
        <w:t xml:space="preserve"> y fisicoquímicos para obtener series prolongadas en el tiempo que permitan evaluar sistemáticamente el estado de calidad en el contexto de la Directiva Marco del Agua (DMA), así como interpretar procesos de cambio en la dinámica de los ecosistemas fluviales.</w:t>
      </w:r>
    </w:p>
    <w:p w:rsidR="00632C87" w:rsidRPr="00653141" w:rsidRDefault="00632C87" w:rsidP="00632C87">
      <w:pPr>
        <w:autoSpaceDE w:val="0"/>
        <w:autoSpaceDN w:val="0"/>
        <w:adjustRightInd w:val="0"/>
        <w:spacing w:before="120" w:after="120" w:line="360" w:lineRule="auto"/>
        <w:jc w:val="both"/>
        <w:rPr>
          <w:rFonts w:cs="Arial"/>
          <w:lang w:val="es-ES" w:bidi="ks-Deva"/>
        </w:rPr>
      </w:pPr>
      <w:r w:rsidRPr="00653141">
        <w:rPr>
          <w:rFonts w:cs="Arial"/>
          <w:lang w:val="es-ES" w:bidi="ks-Deva"/>
        </w:rPr>
        <w:t xml:space="preserve">De manera transversal, el Programa de Educación Ambiental, Comunicación y Formación (PROECA), creado en 2004, tiene la finalidad de fomentar la participación, promover los procesos de aprendizaje social y hacer trascender y difundir los resultados obtenidos en las diferentes líneas de investigación de </w:t>
      </w:r>
      <w:proofErr w:type="spellStart"/>
      <w:r w:rsidRPr="00653141">
        <w:rPr>
          <w:rFonts w:cs="Arial"/>
          <w:i/>
          <w:lang w:val="es-ES" w:bidi="ks-Deva"/>
        </w:rPr>
        <w:t>L’Observatori</w:t>
      </w:r>
      <w:proofErr w:type="spellEnd"/>
      <w:r w:rsidRPr="00653141">
        <w:rPr>
          <w:rFonts w:cs="Arial"/>
          <w:lang w:val="es-ES" w:bidi="ks-Deva"/>
        </w:rPr>
        <w:t xml:space="preserve"> a todos los ámbitos sociales: a nivel de ciudadanía, a nivel científico y académico y</w:t>
      </w:r>
      <w:r w:rsidR="00653141" w:rsidRPr="00653141">
        <w:rPr>
          <w:rFonts w:cs="Arial"/>
          <w:lang w:val="es-ES" w:bidi="ks-Deva"/>
        </w:rPr>
        <w:t xml:space="preserve"> </w:t>
      </w:r>
      <w:r w:rsidRPr="00653141">
        <w:rPr>
          <w:rFonts w:cs="Arial"/>
          <w:lang w:val="es-ES" w:bidi="ks-Deva"/>
        </w:rPr>
        <w:t>a nivel gubernamental.</w:t>
      </w:r>
    </w:p>
    <w:p w:rsidR="00632C87" w:rsidRPr="00653141" w:rsidRDefault="00632C87" w:rsidP="00632C87">
      <w:pPr>
        <w:autoSpaceDE w:val="0"/>
        <w:autoSpaceDN w:val="0"/>
        <w:adjustRightInd w:val="0"/>
        <w:spacing w:before="120" w:after="120" w:line="360" w:lineRule="auto"/>
        <w:jc w:val="both"/>
        <w:rPr>
          <w:rFonts w:cs="Arial"/>
          <w:lang w:val="es-ES"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C47A5A" w:rsidRDefault="00C47A5A" w:rsidP="00632C87">
      <w:pPr>
        <w:autoSpaceDE w:val="0"/>
        <w:autoSpaceDN w:val="0"/>
        <w:adjustRightInd w:val="0"/>
        <w:spacing w:before="120" w:after="120" w:line="360" w:lineRule="auto"/>
        <w:jc w:val="both"/>
        <w:rPr>
          <w:rFonts w:cs="Arial"/>
          <w:lang w:bidi="ks-Deva"/>
        </w:rPr>
      </w:pPr>
    </w:p>
    <w:p w:rsidR="00C47A5A" w:rsidRDefault="00C47A5A"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Pr="00582286" w:rsidRDefault="00632C87" w:rsidP="00632C87">
      <w:pPr>
        <w:pStyle w:val="Senseespaiat"/>
        <w:spacing w:before="120" w:after="240"/>
        <w:rPr>
          <w:rFonts w:ascii="Century Gothic" w:eastAsiaTheme="majorEastAsia" w:hAnsi="Century Gothic" w:cstheme="majorBidi"/>
          <w:b/>
          <w:sz w:val="24"/>
          <w:szCs w:val="24"/>
          <w:lang w:val="en-GB"/>
        </w:rPr>
      </w:pPr>
      <w:r w:rsidRPr="00582286">
        <w:rPr>
          <w:rFonts w:ascii="Century Gothic" w:eastAsiaTheme="majorEastAsia" w:hAnsi="Century Gothic" w:cstheme="majorBidi"/>
          <w:b/>
          <w:sz w:val="24"/>
          <w:szCs w:val="24"/>
          <w:lang w:val="en-GB"/>
        </w:rPr>
        <w:lastRenderedPageBreak/>
        <w:t>(</w:t>
      </w:r>
      <w:proofErr w:type="spellStart"/>
      <w:proofErr w:type="gramStart"/>
      <w:r w:rsidRPr="00582286">
        <w:rPr>
          <w:rFonts w:ascii="Century Gothic" w:eastAsiaTheme="majorEastAsia" w:hAnsi="Century Gothic" w:cstheme="majorBidi"/>
          <w:b/>
          <w:sz w:val="24"/>
          <w:szCs w:val="24"/>
          <w:lang w:val="en-GB"/>
        </w:rPr>
        <w:t>eng</w:t>
      </w:r>
      <w:proofErr w:type="spellEnd"/>
      <w:proofErr w:type="gramEnd"/>
      <w:r w:rsidRPr="00582286">
        <w:rPr>
          <w:rFonts w:ascii="Century Gothic" w:eastAsiaTheme="majorEastAsia" w:hAnsi="Century Gothic" w:cstheme="majorBidi"/>
          <w:b/>
          <w:sz w:val="24"/>
          <w:szCs w:val="24"/>
          <w:lang w:val="en-GB"/>
        </w:rPr>
        <w:t>)</w:t>
      </w:r>
    </w:p>
    <w:p w:rsidR="00632C87" w:rsidRPr="005329E5" w:rsidRDefault="00632C87" w:rsidP="00632C87">
      <w:pPr>
        <w:pStyle w:val="Senseespaiat"/>
        <w:spacing w:before="120" w:after="240"/>
        <w:rPr>
          <w:rFonts w:ascii="Century Gothic" w:eastAsiaTheme="majorEastAsia" w:hAnsi="Century Gothic" w:cstheme="majorBidi"/>
          <w:b/>
          <w:color w:val="0099CC"/>
          <w:sz w:val="36"/>
          <w:szCs w:val="36"/>
          <w:lang w:val="en-GB"/>
        </w:rPr>
      </w:pPr>
      <w:proofErr w:type="spellStart"/>
      <w:r w:rsidRPr="005329E5">
        <w:rPr>
          <w:rFonts w:ascii="Century Gothic" w:eastAsiaTheme="majorEastAsia" w:hAnsi="Century Gothic" w:cstheme="majorBidi"/>
          <w:b/>
          <w:color w:val="0099CC"/>
          <w:sz w:val="36"/>
          <w:szCs w:val="36"/>
          <w:lang w:val="en-GB"/>
        </w:rPr>
        <w:t>L’Observatori</w:t>
      </w:r>
      <w:proofErr w:type="spellEnd"/>
      <w:r w:rsidRPr="005329E5">
        <w:rPr>
          <w:rFonts w:ascii="Century Gothic" w:eastAsiaTheme="majorEastAsia" w:hAnsi="Century Gothic" w:cstheme="majorBidi"/>
          <w:b/>
          <w:color w:val="0099CC"/>
          <w:sz w:val="36"/>
          <w:szCs w:val="36"/>
          <w:lang w:val="en-GB"/>
        </w:rPr>
        <w:t xml:space="preserve"> de la </w:t>
      </w:r>
      <w:proofErr w:type="spellStart"/>
      <w:r w:rsidRPr="005329E5">
        <w:rPr>
          <w:rFonts w:ascii="Century Gothic" w:eastAsiaTheme="majorEastAsia" w:hAnsi="Century Gothic" w:cstheme="majorBidi"/>
          <w:b/>
          <w:color w:val="0099CC"/>
          <w:sz w:val="36"/>
          <w:szCs w:val="36"/>
          <w:lang w:val="en-GB"/>
        </w:rPr>
        <w:t>Tordera</w:t>
      </w:r>
      <w:proofErr w:type="spellEnd"/>
      <w:r w:rsidRPr="005329E5">
        <w:rPr>
          <w:rFonts w:ascii="Century Gothic" w:eastAsiaTheme="majorEastAsia" w:hAnsi="Century Gothic" w:cstheme="majorBidi"/>
          <w:b/>
          <w:color w:val="0099CC"/>
          <w:sz w:val="36"/>
          <w:szCs w:val="36"/>
          <w:lang w:val="en-GB"/>
        </w:rPr>
        <w:t xml:space="preserve">: </w:t>
      </w:r>
      <w:r w:rsidR="007B3395" w:rsidRPr="005329E5">
        <w:rPr>
          <w:rFonts w:ascii="Century Gothic" w:eastAsiaTheme="majorEastAsia" w:hAnsi="Century Gothic" w:cstheme="majorBidi"/>
          <w:b/>
          <w:color w:val="0099CC"/>
          <w:sz w:val="36"/>
          <w:szCs w:val="36"/>
          <w:lang w:val="en-GB"/>
        </w:rPr>
        <w:t xml:space="preserve">monitoring of socioecological indicators in </w:t>
      </w:r>
      <w:proofErr w:type="spellStart"/>
      <w:r w:rsidR="007B3395" w:rsidRPr="005329E5">
        <w:rPr>
          <w:rFonts w:ascii="Century Gothic" w:eastAsiaTheme="majorEastAsia" w:hAnsi="Century Gothic" w:cstheme="majorBidi"/>
          <w:b/>
          <w:color w:val="0099CC"/>
          <w:sz w:val="36"/>
          <w:szCs w:val="36"/>
          <w:lang w:val="en-GB"/>
        </w:rPr>
        <w:t>mediterranean</w:t>
      </w:r>
      <w:proofErr w:type="spellEnd"/>
      <w:r w:rsidR="007B3395" w:rsidRPr="005329E5">
        <w:rPr>
          <w:rFonts w:ascii="Century Gothic" w:eastAsiaTheme="majorEastAsia" w:hAnsi="Century Gothic" w:cstheme="majorBidi"/>
          <w:b/>
          <w:color w:val="0099CC"/>
          <w:sz w:val="36"/>
          <w:szCs w:val="36"/>
          <w:lang w:val="en-GB"/>
        </w:rPr>
        <w:t xml:space="preserve"> river basins</w:t>
      </w:r>
    </w:p>
    <w:p w:rsidR="005329E5" w:rsidRPr="00082E66" w:rsidRDefault="007B3395" w:rsidP="001F01A7">
      <w:pPr>
        <w:autoSpaceDE w:val="0"/>
        <w:autoSpaceDN w:val="0"/>
        <w:adjustRightInd w:val="0"/>
        <w:spacing w:before="120" w:after="120" w:line="360" w:lineRule="auto"/>
        <w:jc w:val="both"/>
        <w:rPr>
          <w:rFonts w:asciiTheme="minorHAnsi" w:hAnsiTheme="minorHAnsi" w:cs="Arial"/>
          <w:lang w:val="en-GB" w:bidi="ks-Deva"/>
        </w:rPr>
      </w:pPr>
      <w:proofErr w:type="spellStart"/>
      <w:r w:rsidRPr="00082E66">
        <w:rPr>
          <w:rFonts w:asciiTheme="minorHAnsi" w:hAnsiTheme="minorHAnsi" w:cs="Arial"/>
          <w:i/>
          <w:lang w:val="en-GB" w:bidi="ks-Deva"/>
        </w:rPr>
        <w:t>L’Observatori</w:t>
      </w:r>
      <w:proofErr w:type="spellEnd"/>
      <w:r w:rsidRPr="00082E66">
        <w:rPr>
          <w:rFonts w:asciiTheme="minorHAnsi" w:hAnsiTheme="minorHAnsi" w:cs="Arial"/>
          <w:i/>
          <w:lang w:val="en-GB" w:bidi="ks-Deva"/>
        </w:rPr>
        <w:t xml:space="preserve"> de la </w:t>
      </w:r>
      <w:proofErr w:type="spellStart"/>
      <w:r w:rsidRPr="00082E66">
        <w:rPr>
          <w:rFonts w:asciiTheme="minorHAnsi" w:hAnsiTheme="minorHAnsi" w:cs="Arial"/>
          <w:i/>
          <w:lang w:val="en-GB" w:bidi="ks-Deva"/>
        </w:rPr>
        <w:t>Tordera</w:t>
      </w:r>
      <w:proofErr w:type="spellEnd"/>
      <w:r w:rsidRPr="00082E66">
        <w:rPr>
          <w:rFonts w:asciiTheme="minorHAnsi" w:hAnsiTheme="minorHAnsi" w:cs="Arial"/>
          <w:lang w:val="en-GB" w:bidi="ks-Deva"/>
        </w:rPr>
        <w:t xml:space="preserve"> </w:t>
      </w:r>
      <w:r w:rsidR="001F01A7" w:rsidRPr="00082E66">
        <w:rPr>
          <w:rFonts w:asciiTheme="minorHAnsi" w:hAnsiTheme="minorHAnsi" w:cs="Arial"/>
          <w:lang w:val="en-GB" w:bidi="ks-Deva"/>
        </w:rPr>
        <w:t>is an interdi</w:t>
      </w:r>
      <w:r w:rsidRPr="00082E66">
        <w:rPr>
          <w:rFonts w:asciiTheme="minorHAnsi" w:hAnsiTheme="minorHAnsi" w:cs="Arial"/>
          <w:lang w:val="en-GB" w:bidi="ks-Deva"/>
        </w:rPr>
        <w:t>sciplinary project linked to</w:t>
      </w:r>
      <w:r w:rsidR="001F01A7" w:rsidRPr="00082E66">
        <w:rPr>
          <w:rFonts w:asciiTheme="minorHAnsi" w:hAnsiTheme="minorHAnsi" w:cs="Arial"/>
          <w:lang w:val="en-GB" w:bidi="ks-Deva"/>
        </w:rPr>
        <w:t xml:space="preserve"> </w:t>
      </w:r>
      <w:hyperlink r:id="rId7" w:history="1">
        <w:r w:rsidR="001F01A7" w:rsidRPr="00DF0DB7">
          <w:rPr>
            <w:rStyle w:val="Enlla"/>
            <w:rFonts w:asciiTheme="minorHAnsi" w:hAnsiTheme="minorHAnsi" w:cs="Arial"/>
            <w:i/>
            <w:lang w:val="en-GB" w:bidi="ks-Deva"/>
          </w:rPr>
          <w:t>Biodiversity, Global Change and Conservation (</w:t>
        </w:r>
        <w:proofErr w:type="spellStart"/>
        <w:r w:rsidR="001F01A7" w:rsidRPr="00DF0DB7">
          <w:rPr>
            <w:rStyle w:val="Enlla"/>
            <w:rFonts w:asciiTheme="minorHAnsi" w:hAnsiTheme="minorHAnsi" w:cs="Arial"/>
            <w:i/>
            <w:lang w:val="en-GB" w:bidi="ks-Deva"/>
          </w:rPr>
          <w:t>Nycticorax</w:t>
        </w:r>
        <w:proofErr w:type="spellEnd"/>
        <w:r w:rsidR="001F01A7" w:rsidRPr="00DF0DB7">
          <w:rPr>
            <w:rStyle w:val="Enlla"/>
            <w:rFonts w:asciiTheme="minorHAnsi" w:hAnsiTheme="minorHAnsi" w:cs="Arial"/>
            <w:i/>
            <w:lang w:val="en-GB" w:bidi="ks-Deva"/>
          </w:rPr>
          <w:t>)</w:t>
        </w:r>
      </w:hyperlink>
      <w:r w:rsidR="001F01A7" w:rsidRPr="00082E66">
        <w:rPr>
          <w:rFonts w:asciiTheme="minorHAnsi" w:hAnsiTheme="minorHAnsi" w:cs="Arial"/>
          <w:lang w:val="en-GB" w:bidi="ks-Deva"/>
        </w:rPr>
        <w:t xml:space="preserve"> research group </w:t>
      </w:r>
      <w:r w:rsidRPr="00082E66">
        <w:rPr>
          <w:rFonts w:asciiTheme="minorHAnsi" w:hAnsiTheme="minorHAnsi" w:cs="Arial"/>
          <w:lang w:val="en-GB" w:bidi="ks-Deva"/>
        </w:rPr>
        <w:t xml:space="preserve">at </w:t>
      </w:r>
      <w:r w:rsidR="003B4CB7" w:rsidRPr="00082E66">
        <w:rPr>
          <w:rFonts w:asciiTheme="minorHAnsi" w:hAnsiTheme="minorHAnsi" w:cs="Arial"/>
          <w:lang w:val="en-GB" w:bidi="ks-Deva"/>
        </w:rPr>
        <w:t>ICTA-UAB</w:t>
      </w:r>
      <w:r w:rsidR="001F01A7" w:rsidRPr="00082E66">
        <w:rPr>
          <w:rFonts w:asciiTheme="minorHAnsi" w:hAnsiTheme="minorHAnsi" w:cs="Arial"/>
          <w:lang w:val="en-GB" w:bidi="ks-Deva"/>
        </w:rPr>
        <w:t xml:space="preserve"> </w:t>
      </w:r>
      <w:r w:rsidRPr="00082E66">
        <w:rPr>
          <w:rFonts w:asciiTheme="minorHAnsi" w:hAnsiTheme="minorHAnsi" w:cs="Arial"/>
          <w:lang w:val="en-GB" w:bidi="ks-Deva"/>
        </w:rPr>
        <w:t xml:space="preserve">launched in </w:t>
      </w:r>
      <w:r w:rsidR="001F01A7" w:rsidRPr="00082E66">
        <w:rPr>
          <w:rFonts w:asciiTheme="minorHAnsi" w:hAnsiTheme="minorHAnsi" w:cs="Arial"/>
          <w:lang w:val="en-GB" w:bidi="ks-Deva"/>
        </w:rPr>
        <w:t xml:space="preserve">1996 with the main objective </w:t>
      </w:r>
      <w:r w:rsidR="005329E5" w:rsidRPr="00082E66">
        <w:rPr>
          <w:rFonts w:asciiTheme="minorHAnsi" w:hAnsiTheme="minorHAnsi" w:cs="Arial"/>
          <w:lang w:val="en-GB" w:bidi="ks-Deva"/>
        </w:rPr>
        <w:t xml:space="preserve">to define indicators </w:t>
      </w:r>
      <w:r w:rsidR="003B4CB7" w:rsidRPr="00082E66">
        <w:rPr>
          <w:rFonts w:asciiTheme="minorHAnsi" w:hAnsiTheme="minorHAnsi" w:cs="Arial"/>
          <w:lang w:val="en-GB" w:bidi="ks-Deva"/>
        </w:rPr>
        <w:t xml:space="preserve">of </w:t>
      </w:r>
      <w:r w:rsidR="005329E5" w:rsidRPr="00082E66">
        <w:rPr>
          <w:rFonts w:asciiTheme="minorHAnsi" w:hAnsiTheme="minorHAnsi" w:cs="Arial"/>
          <w:lang w:val="en-GB" w:bidi="ks-Deva"/>
        </w:rPr>
        <w:t>fluvial ecosystems status.</w:t>
      </w:r>
    </w:p>
    <w:p w:rsidR="001F01A7" w:rsidRPr="00082E66" w:rsidRDefault="003B4CB7" w:rsidP="001F01A7">
      <w:pPr>
        <w:autoSpaceDE w:val="0"/>
        <w:autoSpaceDN w:val="0"/>
        <w:adjustRightInd w:val="0"/>
        <w:spacing w:before="120" w:after="120" w:line="360" w:lineRule="auto"/>
        <w:jc w:val="both"/>
        <w:rPr>
          <w:rFonts w:asciiTheme="minorHAnsi" w:hAnsiTheme="minorHAnsi" w:cs="Arial"/>
          <w:lang w:val="en-GB" w:bidi="ks-Deva"/>
        </w:rPr>
      </w:pPr>
      <w:r w:rsidRPr="00082E66">
        <w:rPr>
          <w:rFonts w:asciiTheme="minorHAnsi" w:hAnsiTheme="minorHAnsi" w:cs="Arial"/>
          <w:lang w:val="en-GB" w:bidi="ks-Deva"/>
        </w:rPr>
        <w:t xml:space="preserve">Medium and </w:t>
      </w:r>
      <w:r w:rsidRPr="00082E66">
        <w:rPr>
          <w:rFonts w:asciiTheme="minorHAnsi" w:hAnsiTheme="minorHAnsi" w:cs="DejaVuSans"/>
          <w:lang w:val="en-US"/>
        </w:rPr>
        <w:t>long term monitoring</w:t>
      </w:r>
      <w:r w:rsidRPr="00082E66">
        <w:rPr>
          <w:rFonts w:asciiTheme="minorHAnsi" w:hAnsiTheme="minorHAnsi" w:cs="Arial"/>
          <w:lang w:val="en-GB" w:bidi="ks-Deva"/>
        </w:rPr>
        <w:t xml:space="preserve"> assessment provides data related to river quality status, which is essential </w:t>
      </w:r>
      <w:r w:rsidR="001F01A7" w:rsidRPr="00082E66">
        <w:rPr>
          <w:rFonts w:asciiTheme="minorHAnsi" w:hAnsiTheme="minorHAnsi" w:cs="Arial"/>
          <w:lang w:val="en-GB" w:bidi="ks-Deva"/>
        </w:rPr>
        <w:t xml:space="preserve">for the knowledge and detection of changes in </w:t>
      </w:r>
      <w:r w:rsidR="00082E66">
        <w:rPr>
          <w:rFonts w:asciiTheme="minorHAnsi" w:hAnsiTheme="minorHAnsi" w:cs="Arial"/>
          <w:lang w:val="en-GB" w:bidi="ks-Deva"/>
        </w:rPr>
        <w:t xml:space="preserve">the context of </w:t>
      </w:r>
      <w:r w:rsidR="001F01A7" w:rsidRPr="00082E66">
        <w:rPr>
          <w:rFonts w:asciiTheme="minorHAnsi" w:hAnsiTheme="minorHAnsi" w:cs="Arial"/>
          <w:lang w:val="en-GB" w:bidi="ks-Deva"/>
        </w:rPr>
        <w:t xml:space="preserve">the river basin, </w:t>
      </w:r>
      <w:r w:rsidR="00082E66">
        <w:rPr>
          <w:rFonts w:asciiTheme="minorHAnsi" w:hAnsiTheme="minorHAnsi" w:cs="Arial"/>
          <w:lang w:val="en-GB" w:bidi="ks-Deva"/>
        </w:rPr>
        <w:t xml:space="preserve">as well as to implement suitable </w:t>
      </w:r>
      <w:r w:rsidR="001F01A7" w:rsidRPr="00082E66">
        <w:rPr>
          <w:rFonts w:asciiTheme="minorHAnsi" w:hAnsiTheme="minorHAnsi" w:cs="Arial"/>
          <w:lang w:val="en-GB" w:bidi="ks-Deva"/>
        </w:rPr>
        <w:t xml:space="preserve">management measures. The research focuses on the monitoring or continued registration of biological, hydrological, </w:t>
      </w:r>
      <w:proofErr w:type="spellStart"/>
      <w:r w:rsidR="001F01A7" w:rsidRPr="00082E66">
        <w:rPr>
          <w:rFonts w:asciiTheme="minorHAnsi" w:hAnsiTheme="minorHAnsi" w:cs="Arial"/>
          <w:lang w:val="en-GB" w:bidi="ks-Deva"/>
        </w:rPr>
        <w:t>hydromorphological</w:t>
      </w:r>
      <w:proofErr w:type="spellEnd"/>
      <w:r w:rsidR="001F01A7" w:rsidRPr="00082E66">
        <w:rPr>
          <w:rFonts w:asciiTheme="minorHAnsi" w:hAnsiTheme="minorHAnsi" w:cs="Arial"/>
          <w:lang w:val="en-GB" w:bidi="ks-Deva"/>
        </w:rPr>
        <w:t xml:space="preserve"> and physicochemical indicators in order to obtain</w:t>
      </w:r>
      <w:r w:rsidRPr="00082E66">
        <w:rPr>
          <w:rFonts w:asciiTheme="minorHAnsi" w:hAnsiTheme="minorHAnsi" w:cs="Arial"/>
          <w:lang w:val="en-GB" w:bidi="ks-Deva"/>
        </w:rPr>
        <w:t xml:space="preserve"> long </w:t>
      </w:r>
      <w:r w:rsidR="00082E66">
        <w:rPr>
          <w:rFonts w:asciiTheme="minorHAnsi" w:hAnsiTheme="minorHAnsi" w:cs="Arial"/>
          <w:lang w:val="en-GB" w:bidi="ks-Deva"/>
        </w:rPr>
        <w:t xml:space="preserve">data </w:t>
      </w:r>
      <w:r w:rsidRPr="00082E66">
        <w:rPr>
          <w:rFonts w:asciiTheme="minorHAnsi" w:hAnsiTheme="minorHAnsi" w:cs="Arial"/>
          <w:lang w:val="en-GB" w:bidi="ks-Deva"/>
        </w:rPr>
        <w:t>series in time which allow</w:t>
      </w:r>
      <w:r w:rsidR="001F01A7" w:rsidRPr="00082E66">
        <w:rPr>
          <w:rFonts w:asciiTheme="minorHAnsi" w:hAnsiTheme="minorHAnsi" w:cs="Arial"/>
          <w:lang w:val="en-GB" w:bidi="ks-Deva"/>
        </w:rPr>
        <w:t xml:space="preserve"> to systematically evaluate the quality status in the context of the Water Framework Directive (</w:t>
      </w:r>
      <w:r w:rsidRPr="00082E66">
        <w:rPr>
          <w:rFonts w:asciiTheme="minorHAnsi" w:hAnsiTheme="minorHAnsi" w:cs="Arial"/>
          <w:lang w:val="en-GB" w:bidi="ks-Deva"/>
        </w:rPr>
        <w:t>WFD</w:t>
      </w:r>
      <w:r w:rsidR="001F01A7" w:rsidRPr="00082E66">
        <w:rPr>
          <w:rFonts w:asciiTheme="minorHAnsi" w:hAnsiTheme="minorHAnsi" w:cs="Arial"/>
          <w:lang w:val="en-GB" w:bidi="ks-Deva"/>
        </w:rPr>
        <w:t xml:space="preserve">), as well as </w:t>
      </w:r>
      <w:r w:rsidRPr="00082E66">
        <w:rPr>
          <w:rFonts w:asciiTheme="minorHAnsi" w:hAnsiTheme="minorHAnsi" w:cs="Arial"/>
          <w:lang w:val="en-GB" w:bidi="ks-Deva"/>
        </w:rPr>
        <w:t xml:space="preserve">to understand </w:t>
      </w:r>
      <w:r w:rsidR="001F01A7" w:rsidRPr="00082E66">
        <w:rPr>
          <w:rFonts w:asciiTheme="minorHAnsi" w:hAnsiTheme="minorHAnsi" w:cs="Arial"/>
          <w:lang w:val="en-GB" w:bidi="ks-Deva"/>
        </w:rPr>
        <w:t>change</w:t>
      </w:r>
      <w:r w:rsidRPr="00082E66">
        <w:rPr>
          <w:rFonts w:asciiTheme="minorHAnsi" w:hAnsiTheme="minorHAnsi" w:cs="Arial"/>
          <w:lang w:val="en-GB" w:bidi="ks-Deva"/>
        </w:rPr>
        <w:t>s</w:t>
      </w:r>
      <w:r w:rsidR="001F01A7" w:rsidRPr="00082E66">
        <w:rPr>
          <w:rFonts w:asciiTheme="minorHAnsi" w:hAnsiTheme="minorHAnsi" w:cs="Arial"/>
          <w:lang w:val="en-GB" w:bidi="ks-Deva"/>
        </w:rPr>
        <w:t xml:space="preserve"> in the dynamics of river ecosystems.</w:t>
      </w:r>
    </w:p>
    <w:p w:rsidR="007B3395" w:rsidRPr="00082E66" w:rsidRDefault="001F01A7" w:rsidP="00082E66">
      <w:pPr>
        <w:autoSpaceDE w:val="0"/>
        <w:autoSpaceDN w:val="0"/>
        <w:adjustRightInd w:val="0"/>
        <w:spacing w:before="120" w:after="120" w:line="360" w:lineRule="auto"/>
        <w:jc w:val="both"/>
        <w:rPr>
          <w:rFonts w:asciiTheme="minorHAnsi" w:hAnsiTheme="minorHAnsi" w:cs="Arial"/>
          <w:lang w:val="en-GB" w:bidi="ks-Deva"/>
        </w:rPr>
      </w:pPr>
      <w:r w:rsidRPr="00082E66">
        <w:rPr>
          <w:rFonts w:asciiTheme="minorHAnsi" w:hAnsiTheme="minorHAnsi" w:cs="Arial"/>
          <w:lang w:val="en-GB" w:bidi="ks-Deva"/>
        </w:rPr>
        <w:t>In a transversal way, the Environmental Education, Communication and Training Program (PROECA), created in 2004</w:t>
      </w:r>
      <w:r w:rsidR="00082E66" w:rsidRPr="00082E66">
        <w:rPr>
          <w:rFonts w:asciiTheme="minorHAnsi" w:hAnsiTheme="minorHAnsi" w:cs="Arial"/>
          <w:lang w:val="en-GB" w:bidi="ks-Deva"/>
        </w:rPr>
        <w:t>, aims to promote participation and</w:t>
      </w:r>
      <w:r w:rsidRPr="00082E66">
        <w:rPr>
          <w:rFonts w:asciiTheme="minorHAnsi" w:hAnsiTheme="minorHAnsi" w:cs="Arial"/>
          <w:lang w:val="en-GB" w:bidi="ks-Deva"/>
        </w:rPr>
        <w:t xml:space="preserve"> social learning processes and </w:t>
      </w:r>
      <w:r w:rsidR="00082E66" w:rsidRPr="00082E66">
        <w:rPr>
          <w:rFonts w:asciiTheme="minorHAnsi" w:hAnsiTheme="minorHAnsi" w:cs="Arial"/>
          <w:lang w:val="en-GB" w:bidi="ks-Deva"/>
        </w:rPr>
        <w:t xml:space="preserve">to </w:t>
      </w:r>
      <w:r w:rsidR="00082E66" w:rsidRPr="00082E66">
        <w:rPr>
          <w:rFonts w:asciiTheme="minorHAnsi" w:hAnsiTheme="minorHAnsi" w:cs="DejaVuSans"/>
          <w:lang w:val="en-US"/>
        </w:rPr>
        <w:t xml:space="preserve">transfer the acquired knowledge </w:t>
      </w:r>
      <w:r w:rsidR="00082E66" w:rsidRPr="00082E66">
        <w:rPr>
          <w:rFonts w:asciiTheme="minorHAnsi" w:hAnsiTheme="minorHAnsi" w:cs="Arial"/>
          <w:lang w:val="en-GB" w:bidi="ks-Deva"/>
        </w:rPr>
        <w:t xml:space="preserve">in the different research lines of </w:t>
      </w:r>
      <w:proofErr w:type="spellStart"/>
      <w:r w:rsidR="00082E66" w:rsidRPr="00082E66">
        <w:rPr>
          <w:rFonts w:asciiTheme="minorHAnsi" w:hAnsiTheme="minorHAnsi" w:cs="Arial"/>
          <w:i/>
          <w:lang w:val="en-GB" w:bidi="ks-Deva"/>
        </w:rPr>
        <w:t>L’Observatori</w:t>
      </w:r>
      <w:proofErr w:type="spellEnd"/>
      <w:r w:rsidR="00082E66" w:rsidRPr="00082E66">
        <w:rPr>
          <w:rFonts w:asciiTheme="minorHAnsi" w:hAnsiTheme="minorHAnsi" w:cs="Arial"/>
          <w:lang w:val="en-GB" w:bidi="ks-Deva"/>
        </w:rPr>
        <w:t xml:space="preserve"> </w:t>
      </w:r>
      <w:r w:rsidR="00082E66" w:rsidRPr="00082E66">
        <w:rPr>
          <w:rFonts w:asciiTheme="minorHAnsi" w:hAnsiTheme="minorHAnsi" w:cs="DejaVuSans"/>
          <w:lang w:val="en-US"/>
        </w:rPr>
        <w:t xml:space="preserve">from the scientific sphere to </w:t>
      </w:r>
      <w:r w:rsidR="00082E66" w:rsidRPr="00082E66">
        <w:rPr>
          <w:rFonts w:asciiTheme="minorHAnsi" w:hAnsiTheme="minorHAnsi" w:cs="DejaVuSans"/>
          <w:lang w:val="en-GB"/>
        </w:rPr>
        <w:t xml:space="preserve">society: at a </w:t>
      </w:r>
      <w:r w:rsidR="00082E66" w:rsidRPr="00082E66">
        <w:rPr>
          <w:rFonts w:asciiTheme="minorHAnsi" w:hAnsiTheme="minorHAnsi" w:cs="Arial"/>
          <w:lang w:val="en-GB" w:bidi="ks-Deva"/>
        </w:rPr>
        <w:t xml:space="preserve">citizenship level, at a scientist and academic level, and at a </w:t>
      </w:r>
      <w:r w:rsidR="00082E66">
        <w:rPr>
          <w:rFonts w:asciiTheme="minorHAnsi" w:hAnsiTheme="minorHAnsi" w:cs="Arial"/>
          <w:lang w:val="en-GB" w:bidi="ks-Deva"/>
        </w:rPr>
        <w:t>governmental level.</w:t>
      </w:r>
    </w:p>
    <w:p w:rsidR="007B3395" w:rsidRPr="00533765" w:rsidRDefault="007B3395" w:rsidP="007B3395">
      <w:pPr>
        <w:autoSpaceDE w:val="0"/>
        <w:autoSpaceDN w:val="0"/>
        <w:adjustRightInd w:val="0"/>
        <w:rPr>
          <w:rFonts w:ascii="DejaVuSans" w:hAnsi="DejaVuSans" w:cs="DejaVuSans"/>
          <w:sz w:val="20"/>
          <w:szCs w:val="20"/>
          <w:lang w:val="en-US"/>
        </w:rPr>
      </w:pPr>
      <w:r>
        <w:rPr>
          <w:rFonts w:ascii="DejaVuSans" w:hAnsi="DejaVuSans" w:cs="DejaVuSans"/>
          <w:sz w:val="20"/>
          <w:szCs w:val="20"/>
          <w:lang w:val="en-US"/>
        </w:rPr>
        <w:t xml:space="preserve"> </w:t>
      </w:r>
    </w:p>
    <w:p w:rsidR="00632C87" w:rsidRPr="00D74E6F" w:rsidRDefault="00632C87" w:rsidP="00632C87">
      <w:pPr>
        <w:autoSpaceDE w:val="0"/>
        <w:autoSpaceDN w:val="0"/>
        <w:adjustRightInd w:val="0"/>
        <w:spacing w:before="120" w:after="120" w:line="360" w:lineRule="auto"/>
        <w:jc w:val="both"/>
        <w:rPr>
          <w:rFonts w:cs="Arial"/>
          <w:lang w:bidi="ks-Deva"/>
        </w:rPr>
      </w:pPr>
      <w:bookmarkStart w:id="0" w:name="_GoBack"/>
      <w:bookmarkEnd w:id="0"/>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Default="00632C87" w:rsidP="00632C87">
      <w:pPr>
        <w:autoSpaceDE w:val="0"/>
        <w:autoSpaceDN w:val="0"/>
        <w:adjustRightInd w:val="0"/>
        <w:spacing w:before="120" w:after="120" w:line="360" w:lineRule="auto"/>
        <w:jc w:val="both"/>
        <w:rPr>
          <w:rFonts w:cs="Arial"/>
          <w:lang w:bidi="ks-Deva"/>
        </w:rPr>
      </w:pPr>
    </w:p>
    <w:p w:rsidR="00632C87" w:rsidRPr="00D74E6F" w:rsidRDefault="00632C87" w:rsidP="00632C87">
      <w:pPr>
        <w:autoSpaceDE w:val="0"/>
        <w:autoSpaceDN w:val="0"/>
        <w:adjustRightInd w:val="0"/>
        <w:spacing w:before="120" w:after="120" w:line="360" w:lineRule="auto"/>
        <w:jc w:val="both"/>
        <w:rPr>
          <w:rFonts w:cs="Arial"/>
          <w:lang w:bidi="ks-Deva"/>
        </w:rPr>
      </w:pPr>
    </w:p>
    <w:p w:rsidR="00632C87" w:rsidRPr="00D74E6F" w:rsidRDefault="00632C87" w:rsidP="00D74E6F">
      <w:pPr>
        <w:autoSpaceDE w:val="0"/>
        <w:autoSpaceDN w:val="0"/>
        <w:adjustRightInd w:val="0"/>
        <w:spacing w:before="120" w:after="120" w:line="360" w:lineRule="auto"/>
        <w:jc w:val="both"/>
        <w:rPr>
          <w:rFonts w:cs="Arial"/>
          <w:lang w:bidi="ks-Deva"/>
        </w:rPr>
      </w:pPr>
    </w:p>
    <w:sectPr w:rsidR="00632C87" w:rsidRPr="00D74E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E5E47"/>
    <w:multiLevelType w:val="hybridMultilevel"/>
    <w:tmpl w:val="92E0168A"/>
    <w:lvl w:ilvl="0" w:tplc="CC1CC56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6F"/>
    <w:rsid w:val="00082E66"/>
    <w:rsid w:val="001F01A7"/>
    <w:rsid w:val="003B4CB7"/>
    <w:rsid w:val="005329E5"/>
    <w:rsid w:val="00582286"/>
    <w:rsid w:val="00632C87"/>
    <w:rsid w:val="00653141"/>
    <w:rsid w:val="007B3395"/>
    <w:rsid w:val="007E079B"/>
    <w:rsid w:val="008E7C23"/>
    <w:rsid w:val="00C47A5A"/>
    <w:rsid w:val="00D74E6F"/>
    <w:rsid w:val="00DF0DB7"/>
    <w:rsid w:val="00EE6D55"/>
    <w:rsid w:val="00F25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C139"/>
  <w15:docId w15:val="{0C8B99B0-8C87-47D4-BC9E-CED3145E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6F"/>
    <w:rPr>
      <w:rFonts w:ascii="Calibri" w:eastAsia="Times New Roman" w:hAnsi="Calibri" w:cs="Times New Roman"/>
      <w:lang w:val="ca-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link w:val="SenseespaiatCar"/>
    <w:uiPriority w:val="1"/>
    <w:qFormat/>
    <w:rsid w:val="00D74E6F"/>
    <w:pPr>
      <w:spacing w:after="0" w:line="240" w:lineRule="auto"/>
    </w:pPr>
    <w:rPr>
      <w:rFonts w:eastAsiaTheme="minorEastAsia"/>
      <w:lang w:eastAsia="es-ES"/>
    </w:rPr>
  </w:style>
  <w:style w:type="character" w:customStyle="1" w:styleId="SenseespaiatCar">
    <w:name w:val="Sense espaiat Car"/>
    <w:basedOn w:val="Tipusdelletraperdefectedelpargraf"/>
    <w:link w:val="Senseespaiat"/>
    <w:uiPriority w:val="1"/>
    <w:rsid w:val="00D74E6F"/>
    <w:rPr>
      <w:rFonts w:eastAsiaTheme="minorEastAsia"/>
      <w:lang w:eastAsia="es-ES"/>
    </w:rPr>
  </w:style>
  <w:style w:type="character" w:styleId="Enlla">
    <w:name w:val="Hyperlink"/>
    <w:basedOn w:val="Tipusdelletraperdefectedelpargraf"/>
    <w:uiPriority w:val="99"/>
    <w:unhideWhenUsed/>
    <w:rsid w:val="00D74E6F"/>
    <w:rPr>
      <w:color w:val="0000FF"/>
      <w:u w:val="single"/>
    </w:rPr>
  </w:style>
  <w:style w:type="character" w:styleId="Enllavisitat">
    <w:name w:val="FollowedHyperlink"/>
    <w:basedOn w:val="Tipusdelletraperdefectedelpargraf"/>
    <w:uiPriority w:val="99"/>
    <w:semiHidden/>
    <w:unhideWhenUsed/>
    <w:rsid w:val="00DF0DB7"/>
    <w:rPr>
      <w:color w:val="800080" w:themeColor="followedHyperlink"/>
      <w:u w:val="single"/>
    </w:rPr>
  </w:style>
  <w:style w:type="paragraph" w:styleId="Pargrafdellista">
    <w:name w:val="List Paragraph"/>
    <w:basedOn w:val="Normal"/>
    <w:uiPriority w:val="34"/>
    <w:qFormat/>
    <w:rsid w:val="00F25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cticorax.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cticorax.cat/" TargetMode="External"/><Relationship Id="rId5" Type="http://schemas.openxmlformats.org/officeDocument/2006/relationships/hyperlink" Target="http://www.nycticorax.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685</Words>
  <Characters>3772</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2065067</dc:creator>
  <cp:lastModifiedBy>Marta Jordán Gili</cp:lastModifiedBy>
  <cp:revision>8</cp:revision>
  <dcterms:created xsi:type="dcterms:W3CDTF">2018-04-09T10:50:00Z</dcterms:created>
  <dcterms:modified xsi:type="dcterms:W3CDTF">2019-02-11T09:42:00Z</dcterms:modified>
</cp:coreProperties>
</file>