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CDAAC3B" wp14:paraId="5458069C" wp14:textId="7F18D24A">
      <w:pPr>
        <w:spacing w:before="0" w:beforeAutospacing="off" w:after="180" w:afterAutospacing="off"/>
        <w:jc w:val="left"/>
      </w:pP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Lluís Capdevila i Vilallonga (Barcelona, 1895 – Andorra la Vella, 1980)</w:t>
      </w:r>
      <w:r w:rsidRPr="4CDAAC3B" w:rsidR="00B99F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. E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scriptor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, periodista i traductor.</w:t>
      </w:r>
    </w:p>
    <w:p xmlns:wp14="http://schemas.microsoft.com/office/word/2010/wordml" w:rsidP="4CDAAC3B" wp14:paraId="1E2FC307" wp14:textId="5A1F7BAD">
      <w:pPr>
        <w:spacing w:before="0" w:beforeAutospacing="off" w:after="180" w:afterAutospacing="off"/>
        <w:jc w:val="left"/>
      </w:pP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Va publicar textos a </w:t>
      </w:r>
      <w:r w:rsidRPr="4CDAAC3B" w:rsidR="5FB2BD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ca-ES"/>
        </w:rPr>
        <w:t>Joventut teatral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, </w:t>
      </w:r>
      <w:r w:rsidRPr="4CDAAC3B" w:rsidR="5FB2BD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ca-ES"/>
        </w:rPr>
        <w:t>De tots colors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, </w:t>
      </w:r>
      <w:r w:rsidRPr="4CDAAC3B" w:rsidR="5FB2BD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ca-ES"/>
        </w:rPr>
        <w:t>Los miserables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,</w:t>
      </w:r>
      <w:r w:rsidRPr="4CDAAC3B" w:rsidR="5FB2BD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 L’esquella de la torratxa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, </w:t>
      </w:r>
      <w:r w:rsidRPr="4CDAAC3B" w:rsidR="5FB2BD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ca-ES"/>
        </w:rPr>
        <w:t>La campana de Gràcia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 i </w:t>
      </w:r>
      <w:r w:rsidRPr="4CDAAC3B" w:rsidR="5FB2BD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ca-ES"/>
        </w:rPr>
        <w:t>La humanitat</w:t>
      </w:r>
      <w:r w:rsidRPr="4CDAAC3B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. Com a militant d’Esquerra Republicana de Catalunya va lluitar al front des de 1936, exiliant-se a França l’any 1939. Durant la Segona Guerra Mundial, a França, va col·laborar activament amb el moviment de la Resistència. L’any 1950 va començar a donar classes com a professor de literatura espanyola a la Universitat de Poitiers on, l’any 1970, va fundar l’Aula de literatura i filologia catalanes. Al jubilar-se com a professor va anar a viure a Andorra la Vella, on va morir l’any 1980.</w:t>
      </w:r>
    </w:p>
    <w:p xmlns:wp14="http://schemas.microsoft.com/office/word/2010/wordml" w:rsidP="4CDAAC3B" wp14:paraId="45B1E2C9" wp14:textId="27231E02">
      <w:pPr>
        <w:spacing w:before="0" w:beforeAutospacing="off" w:after="180" w:afterAutospacing="off"/>
        <w:jc w:val="left"/>
      </w:pPr>
      <w:r w:rsidRPr="1A554E0D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L’any 2014 Carles Capdevila Mur fa donació dels manuscrits a la Universitat Aut</w:t>
      </w:r>
      <w:r w:rsidRPr="1A554E0D" w:rsidR="4D28E5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ò</w:t>
      </w:r>
      <w:r w:rsidRPr="1A554E0D" w:rsidR="5FB2BD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>noma de Barcelona i queden dipositats a la Biblioteca d’Humanitats.</w:t>
      </w:r>
    </w:p>
    <w:p xmlns:wp14="http://schemas.microsoft.com/office/word/2010/wordml" w:rsidP="4CDAAC3B" wp14:paraId="469809C3" wp14:textId="48C4F683">
      <w:pPr>
        <w:pStyle w:val="Normal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587606"/>
          <w:sz w:val="17"/>
          <w:szCs w:val="17"/>
          <w:u w:val="none"/>
          <w:lang w:val="ca-ES"/>
        </w:rPr>
      </w:pPr>
      <w:r w:rsidRPr="4CDAAC3B" w:rsidR="5FB2BDB0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>Descripció del fons</w:t>
      </w:r>
      <w:r w:rsidRPr="4CDAAC3B" w:rsidR="5FB2BDB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>:</w:t>
      </w:r>
      <w:r w:rsidRPr="4CDAAC3B" w:rsidR="19D4897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  <w:t xml:space="preserve"> El Fons Capdevila reuneix part dels manuscrits i mecanoscrits d’obra pròpia de Lluís Capdevila, així com també algunes de les seves traduccions. Destaquen, per la seva quantitat, les obres de teatre</w:t>
      </w:r>
      <w:r w:rsidRPr="4CDAAC3B" w:rsidR="5FB2BDB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>.</w:t>
      </w:r>
      <w:r>
        <w:br/>
      </w:r>
      <w:r>
        <w:br/>
      </w:r>
      <w:r w:rsidRPr="4CDAAC3B" w:rsidR="5FB2BDB0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>Citeu com</w:t>
      </w:r>
      <w:r w:rsidRPr="4CDAAC3B" w:rsidR="5FB2BDB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 xml:space="preserve">: Fons </w:t>
      </w:r>
      <w:r w:rsidRPr="4CDAAC3B" w:rsidR="1E3B904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>Lluís Capdevila (Universitat Autònoma de Barcelona)</w:t>
      </w:r>
      <w:r>
        <w:br/>
      </w:r>
      <w:r>
        <w:br/>
      </w:r>
      <w:r w:rsidRPr="4CDAAC3B" w:rsidR="5FB2BDB0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>Inventari del fons</w:t>
      </w:r>
      <w:r w:rsidRPr="4CDAAC3B" w:rsidR="5FB2BDB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 xml:space="preserve">: </w:t>
      </w:r>
      <w:hyperlink r:id="Rfe771fcded7448f1">
        <w:r w:rsidRPr="4CDAAC3B" w:rsidR="5FB2BDB0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7"/>
            <w:szCs w:val="17"/>
            <w:lang w:val="ca-ES"/>
          </w:rPr>
          <w:t>https://www.bib.uab.cat/human/fonspersonals/capdevila/</w:t>
        </w:r>
      </w:hyperlink>
    </w:p>
    <w:p xmlns:wp14="http://schemas.microsoft.com/office/word/2010/wordml" w:rsidP="1A554E0D" wp14:paraId="7B1461D5" wp14:textId="21EED22C">
      <w:pPr>
        <w:spacing w:before="0" w:beforeAutospacing="off" w:after="15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</w:pPr>
      <w:r w:rsidRPr="1A554E0D" w:rsidR="5FB2BDB0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  <w:t xml:space="preserve">Digitalització realitzada amb el suport de </w:t>
      </w:r>
      <w:r w:rsidR="5FB2BDB0">
        <w:drawing>
          <wp:inline xmlns:wp14="http://schemas.microsoft.com/office/word/2010/wordprocessingDrawing" wp14:editId="1F3B9344" wp14:anchorId="7BA6CA49">
            <wp:extent cx="952500" cy="219075"/>
            <wp:effectExtent l="0" t="0" r="0" b="0"/>
            <wp:docPr id="380448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1857c39230473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554E0D" w:rsidP="1A554E0D" w:rsidRDefault="1A554E0D" w14:paraId="68E9D553" w14:textId="159ED1E7">
      <w:pPr>
        <w:pStyle w:val="Normal"/>
        <w:spacing w:before="0" w:beforeAutospacing="off" w:after="15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</w:pPr>
    </w:p>
    <w:p w:rsidR="1365B6F1" w:rsidP="1A554E0D" w:rsidRDefault="1365B6F1" w14:paraId="4F6AFE83" w14:textId="5B48C208">
      <w:pPr>
        <w:spacing w:before="0" w:beforeAutospacing="off" w:after="180" w:afterAutospacing="off" w:line="259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ca-ES"/>
        </w:rPr>
      </w:pP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Lluís Capdevila i Vilallonga (Barcelona, 1895 – Andorra la Vella, 1980). Escritor, periodista y traductor.</w:t>
      </w:r>
    </w:p>
    <w:p w:rsidR="1365B6F1" w:rsidP="1A554E0D" w:rsidRDefault="1365B6F1" w14:paraId="7859832E" w14:textId="3184DBED">
      <w:pPr>
        <w:spacing w:before="0" w:beforeAutospacing="off" w:after="180" w:afterAutospacing="off" w:line="259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</w:pP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Publicó textos en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Joventut teatral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,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De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tots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colors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,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Los miserables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,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L’esquella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de la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torratxa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,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La campana de Gràcia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y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La </w:t>
      </w:r>
      <w:r w:rsidRPr="1A554E0D" w:rsidR="1365B6F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s-ES"/>
        </w:rPr>
        <w:t>humanitat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. Como militante de Esquerra Republicana de Catalunya</w:t>
      </w:r>
      <w:r w:rsidRPr="1A554E0D" w:rsidR="41CEC3A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,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luchó en el frente desde 1936, y se exilió a Francia en el año 1939. Durante la Segunda Guerra Mundial, en Francia, colaboró activamente con el movimiento de la Resistencia. En el año 1950</w:t>
      </w:r>
      <w:r w:rsidRPr="1A554E0D" w:rsidR="2D6A30E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,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</w:t>
      </w:r>
      <w:r w:rsidRPr="1A554E0D" w:rsidR="776FCCE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empezó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a dar clases como profesor de literatura española en la </w:t>
      </w:r>
      <w:r w:rsidRPr="1A554E0D" w:rsidR="33D0C74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Universidad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de Poitiers</w:t>
      </w:r>
      <w:r w:rsidRPr="1A554E0D" w:rsidR="226BA9E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,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donde en 1970 fundó el Aula de literatura y filología catalanas. </w:t>
      </w:r>
      <w:r w:rsidRPr="1A554E0D" w:rsidR="132339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Al jubilarse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como profesor</w:t>
      </w:r>
      <w:r w:rsidRPr="1A554E0D" w:rsidR="64EE8A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,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se </w:t>
      </w:r>
      <w:r w:rsidRPr="1A554E0D" w:rsidR="04FB15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trasladó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a vivir </w:t>
      </w:r>
      <w:r w:rsidRPr="1A554E0D" w:rsidR="30965F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a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Andorra la Vella, donde </w:t>
      </w:r>
      <w:r w:rsidRPr="1A554E0D" w:rsidR="2C150B8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falleció en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1980.</w:t>
      </w:r>
    </w:p>
    <w:p w:rsidR="1365B6F1" w:rsidP="1A554E0D" w:rsidRDefault="1365B6F1" w14:paraId="76A2F334" w14:textId="2567C25C">
      <w:pPr>
        <w:spacing w:before="0" w:beforeAutospacing="off" w:after="180" w:afterAutospacing="off" w:line="259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</w:pP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En el año 2014, Carles Capdevila 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Mur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</w:t>
      </w:r>
      <w:r w:rsidRPr="1A554E0D" w:rsidR="19FD3B7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donó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sus manuscritos a la 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Universitat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Autònoma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de Barcelona</w:t>
      </w:r>
      <w:r w:rsidRPr="1A554E0D" w:rsidR="743641F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,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y</w:t>
      </w:r>
      <w:r w:rsidRPr="1A554E0D" w:rsidR="05FED6C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estos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se encuentran depositados en la Biblioteca de Humanidades.</w:t>
      </w:r>
    </w:p>
    <w:p w:rsidR="1365B6F1" w:rsidP="1A554E0D" w:rsidRDefault="1365B6F1" w14:paraId="5B34BE54" w14:textId="6A297E77">
      <w:p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87606"/>
          <w:sz w:val="17"/>
          <w:szCs w:val="17"/>
          <w:lang w:val="ca-ES"/>
        </w:rPr>
      </w:pPr>
      <w:r w:rsidRPr="1A554E0D" w:rsidR="1365B6F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Descripción del fondo</w:t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: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El Fondo Capdevila reúne parte de los manuscritos y mecanoscritos de </w:t>
      </w:r>
      <w:r w:rsidRPr="1A554E0D" w:rsidR="2AB3FB4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la 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>propia</w:t>
      </w:r>
      <w:r w:rsidRPr="1A554E0D" w:rsidR="017B50C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obra</w:t>
      </w:r>
      <w:r w:rsidRPr="1A554E0D" w:rsidR="1365B6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ES"/>
        </w:rPr>
        <w:t xml:space="preserve"> de Lluís Capdevila, así como algunas de sus traducciones. Destacan, por su cantidad, las obras de teatro</w:t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.</w:t>
      </w:r>
      <w:r>
        <w:br/>
      </w:r>
      <w:r>
        <w:br/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Citad como: Fondo Lluís Capdevila (</w:t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Universitat</w:t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 xml:space="preserve"> </w:t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Autònoma</w:t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 xml:space="preserve"> de Barcelona)</w:t>
      </w:r>
      <w:r>
        <w:br/>
      </w:r>
      <w:r>
        <w:br/>
      </w:r>
      <w:r w:rsidRPr="1A554E0D" w:rsidR="1365B6F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 xml:space="preserve">Inventario del fondo: </w:t>
      </w:r>
      <w:hyperlink r:id="Rb74c0a8e3fa24289">
        <w:r w:rsidRPr="1A554E0D" w:rsidR="1365B6F1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es-ES"/>
          </w:rPr>
          <w:t>https://www.bib.uab.cat/human/fonspersonals/capdevila/</w:t>
        </w:r>
      </w:hyperlink>
    </w:p>
    <w:p w:rsidR="1365B6F1" w:rsidP="1A554E0D" w:rsidRDefault="1365B6F1" w14:paraId="30F6CEFD" w14:textId="2EB373CB">
      <w:pPr>
        <w:spacing w:before="0" w:beforeAutospacing="off" w:after="15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</w:pPr>
      <w:r w:rsidRPr="1A554E0D" w:rsidR="1365B6F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 xml:space="preserve">Digitalización realizada con el </w:t>
      </w:r>
      <w:r w:rsidRPr="1A554E0D" w:rsidR="7DBD733C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>apoyo</w:t>
      </w:r>
      <w:r w:rsidRPr="1A554E0D" w:rsidR="1365B6F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  <w:t xml:space="preserve"> de </w:t>
      </w:r>
      <w:r w:rsidR="1365B6F1">
        <w:drawing>
          <wp:inline wp14:editId="4E829A32" wp14:anchorId="3287A256">
            <wp:extent cx="942975" cy="219075"/>
            <wp:effectExtent l="0" t="0" r="0" b="0"/>
            <wp:docPr id="10546505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684251c5924f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554E0D" w:rsidP="1A554E0D" w:rsidRDefault="1A554E0D" w14:paraId="20D7FCA6" w14:textId="145CC312">
      <w:pPr>
        <w:pStyle w:val="Normal"/>
        <w:spacing w:before="0" w:beforeAutospacing="off" w:after="15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</w:pPr>
    </w:p>
    <w:p w:rsidR="51E28EB7" w:rsidP="1A554E0D" w:rsidRDefault="51E28EB7" w14:paraId="66207892" w14:textId="12542A17">
      <w:pPr>
        <w:pStyle w:val="Normal"/>
        <w:bidi w:val="0"/>
        <w:spacing w:before="0" w:beforeAutospacing="off" w:after="180" w:afterAutospacing="off" w:line="259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</w:pP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Lluís Capdevila i Vilallonga (Barcelona, 1895 – Andorra la Vella, 1980). A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writer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journalist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and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translator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.</w:t>
      </w:r>
    </w:p>
    <w:p w:rsidR="51E28EB7" w:rsidP="1A554E0D" w:rsidRDefault="51E28EB7" w14:paraId="79D607B4" w14:textId="4D36924D">
      <w:pPr>
        <w:pStyle w:val="Normal"/>
        <w:bidi w:val="0"/>
        <w:spacing w:before="0" w:beforeAutospacing="off" w:after="180" w:afterAutospacing="off" w:line="259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</w:pP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He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contributed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texts to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publications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38E0CCA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such as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Joventut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teatral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De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tots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colors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Los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miserables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L’esquella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de la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torratxa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, La campana de Gràcia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and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La </w:t>
      </w:r>
      <w:r w:rsidRPr="1A554E0D" w:rsidR="51E28EB7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333333"/>
          <w:sz w:val="18"/>
          <w:szCs w:val="18"/>
          <w:lang w:val="en-GB"/>
        </w:rPr>
        <w:t>humanitat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. As a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member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of Esquerra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Republicana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de Catalunya, he </w:t>
      </w:r>
      <w:r w:rsidRPr="1A554E0D" w:rsidR="224A5C6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served on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front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lines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1936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and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sought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refuge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France in 1939.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During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Second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World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War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while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France, he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actively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supported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Resistance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movement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. In 1950, he </w:t>
      </w:r>
      <w:r w:rsidRPr="1A554E0D" w:rsidR="0BEA44A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began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a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career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as a professor of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Spanish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literature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at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University of Poitiers,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where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he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later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0718E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founded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Aula de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literatura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filologia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catalanes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1970.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Upon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retiring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he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chose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to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reside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Andorra la Vella,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where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he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passed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away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1980.</w:t>
      </w:r>
    </w:p>
    <w:p w:rsidR="51E28EB7" w:rsidP="1A554E0D" w:rsidRDefault="51E28EB7" w14:paraId="7F276358" w14:textId="05ECD6C4">
      <w:pPr>
        <w:pStyle w:val="Normal"/>
        <w:bidi w:val="0"/>
        <w:spacing w:before="0" w:beforeAutospacing="off" w:after="180" w:afterAutospacing="off" w:line="259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</w:pP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In 2014, Carles Capdevila Mur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donated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his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manuscripts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to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Universitat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Autònoma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de Barcelona,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where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they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are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3ED7224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currently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housed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in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Humanitie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Library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.</w:t>
      </w:r>
    </w:p>
    <w:p w:rsidR="51E28EB7" w:rsidP="1A554E0D" w:rsidRDefault="51E28EB7" w14:paraId="6056C0E6" w14:textId="7346C995">
      <w:pPr>
        <w:pStyle w:val="Normal"/>
        <w:bidi w:val="0"/>
        <w:spacing w:before="0" w:beforeAutospacing="off" w:after="180" w:afterAutospacing="off" w:line="259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</w:pPr>
      <w:r w:rsidRPr="1A554E0D" w:rsidR="51E28EB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Description</w:t>
      </w:r>
      <w:r w:rsidRPr="1A554E0D" w:rsidR="51E28EB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of </w:t>
      </w:r>
      <w:r w:rsidRPr="1A554E0D" w:rsidR="51E28EB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the</w:t>
      </w:r>
      <w:r w:rsidRPr="1A554E0D" w:rsidR="51E28EB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</w:t>
      </w:r>
      <w:r w:rsidRPr="1A554E0D" w:rsidR="51E28EB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collection</w:t>
      </w:r>
      <w:r w:rsidRPr="1A554E0D" w:rsidR="51E28EB7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: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Capdevila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Collection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comprises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a significant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portion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of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Lluís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Capdevila's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own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manuscripts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and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typescripts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,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along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with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some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of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his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translations</w:t>
      </w:r>
      <w:r w:rsidRPr="1A554E0D" w:rsidR="51E28EB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.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collection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is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particularly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notable for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its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abundance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of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theatrical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 xml:space="preserve"> 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works</w:t>
      </w:r>
      <w:r w:rsidRPr="1A554E0D" w:rsidR="127983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GB"/>
        </w:rPr>
        <w:t>.</w:t>
      </w:r>
    </w:p>
    <w:p w:rsidR="2B659195" w:rsidP="1A554E0D" w:rsidRDefault="2B659195" w14:paraId="435E6B96" w14:textId="411C955B">
      <w:pPr>
        <w:pStyle w:val="Normal"/>
        <w:spacing w:before="0" w:beforeAutospacing="off" w:after="180" w:afterAutospacing="off" w:line="25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7"/>
          <w:szCs w:val="17"/>
          <w:lang w:val="en-GB"/>
        </w:rPr>
      </w:pPr>
      <w:r w:rsidRPr="1A554E0D" w:rsidR="2B65919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Cite</w:t>
      </w:r>
      <w:r w:rsidRPr="1A554E0D" w:rsidR="2B65919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as</w:t>
      </w:r>
      <w:r w:rsidRPr="1A554E0D" w:rsidR="2B65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: Lluís </w:t>
      </w:r>
      <w:r w:rsidRPr="1A554E0D" w:rsidR="2B65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Capdevila</w:t>
      </w:r>
      <w:r w:rsidRPr="1A554E0D" w:rsidR="294C405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’s</w:t>
      </w:r>
      <w:r w:rsidRPr="1A554E0D" w:rsidR="2B65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Personal </w:t>
      </w:r>
      <w:r w:rsidRPr="1A554E0D" w:rsidR="2B65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Archive</w:t>
      </w:r>
      <w:r w:rsidRPr="1A554E0D" w:rsidR="705D32A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s</w:t>
      </w:r>
      <w:r w:rsidRPr="1A554E0D" w:rsidR="2B65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(Universitat Autònoma de Barcelona)</w:t>
      </w:r>
    </w:p>
    <w:p w:rsidR="2585C9E6" w:rsidP="1A554E0D" w:rsidRDefault="2585C9E6" w14:paraId="4E595F4D" w14:textId="7116852E">
      <w:pPr>
        <w:pStyle w:val="Normal"/>
        <w:spacing w:before="0" w:beforeAutospacing="off" w:after="180" w:afterAutospacing="off" w:line="25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587606"/>
          <w:sz w:val="17"/>
          <w:szCs w:val="17"/>
          <w:u w:val="none"/>
          <w:lang w:val="en-GB"/>
        </w:rPr>
      </w:pPr>
      <w:r w:rsidRPr="1A554E0D" w:rsidR="2585C9E6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Collection</w:t>
      </w:r>
      <w:r w:rsidRPr="1A554E0D" w:rsidR="2585C9E6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</w:t>
      </w:r>
      <w:r w:rsidRPr="1A554E0D" w:rsidR="2585C9E6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inventory</w:t>
      </w:r>
      <w:r w:rsidRPr="1A554E0D" w:rsidR="0551E88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: </w:t>
      </w:r>
      <w:hyperlink r:id="R4a9c146caaa947f0">
        <w:r w:rsidRPr="1A554E0D" w:rsidR="0551E884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7"/>
            <w:szCs w:val="17"/>
            <w:lang w:val="en-GB"/>
          </w:rPr>
          <w:t>https://www.bib.uab.cat/human/fonspersonals/capdevila/</w:t>
        </w:r>
      </w:hyperlink>
    </w:p>
    <w:p w:rsidR="3E256698" w:rsidP="1A554E0D" w:rsidRDefault="3E256698" w14:paraId="78C5079B" w14:textId="460AAE5A">
      <w:pPr>
        <w:spacing w:before="0" w:beforeAutospacing="off" w:after="15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ca-ES"/>
        </w:rPr>
      </w:pP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Digitisation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completed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with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the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>support</w:t>
      </w:r>
      <w:r w:rsidRPr="1A554E0D" w:rsidR="3E256698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GB"/>
        </w:rPr>
        <w:t xml:space="preserve"> of </w:t>
      </w:r>
      <w:r w:rsidR="3E256698">
        <w:drawing>
          <wp:inline wp14:editId="5E5394A8" wp14:anchorId="083DEC2B">
            <wp:extent cx="952500" cy="219075"/>
            <wp:effectExtent l="0" t="0" r="0" b="0"/>
            <wp:docPr id="4290357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1296b390f04b7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952500" cy="2190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0969B7"/>
    <w:rsid w:val="00B99FDB"/>
    <w:rsid w:val="017B50CD"/>
    <w:rsid w:val="04FB159F"/>
    <w:rsid w:val="0551E884"/>
    <w:rsid w:val="05FED6C8"/>
    <w:rsid w:val="0BEA44A1"/>
    <w:rsid w:val="12275BE6"/>
    <w:rsid w:val="127983C1"/>
    <w:rsid w:val="132339E4"/>
    <w:rsid w:val="1365B6F1"/>
    <w:rsid w:val="140F51ED"/>
    <w:rsid w:val="150969B7"/>
    <w:rsid w:val="19D4897B"/>
    <w:rsid w:val="19FD3B73"/>
    <w:rsid w:val="1A554E0D"/>
    <w:rsid w:val="1D38C005"/>
    <w:rsid w:val="1D466E0C"/>
    <w:rsid w:val="1E3B9043"/>
    <w:rsid w:val="224A5C60"/>
    <w:rsid w:val="226BA9EB"/>
    <w:rsid w:val="2585C9E6"/>
    <w:rsid w:val="294C4053"/>
    <w:rsid w:val="2AB3FB4A"/>
    <w:rsid w:val="2B659195"/>
    <w:rsid w:val="2C150B87"/>
    <w:rsid w:val="2CB83EF1"/>
    <w:rsid w:val="2D6A30E7"/>
    <w:rsid w:val="30965F8C"/>
    <w:rsid w:val="330E8F06"/>
    <w:rsid w:val="33D0C74B"/>
    <w:rsid w:val="34AA2879"/>
    <w:rsid w:val="3645F8DA"/>
    <w:rsid w:val="38E0CCAE"/>
    <w:rsid w:val="3D1AF7B9"/>
    <w:rsid w:val="3E256698"/>
    <w:rsid w:val="3ED7224A"/>
    <w:rsid w:val="41CEC3A8"/>
    <w:rsid w:val="434C4F60"/>
    <w:rsid w:val="46640A2A"/>
    <w:rsid w:val="46CB1188"/>
    <w:rsid w:val="481D62A3"/>
    <w:rsid w:val="4CDAAC3B"/>
    <w:rsid w:val="4D28E5FC"/>
    <w:rsid w:val="500AEC70"/>
    <w:rsid w:val="50718E14"/>
    <w:rsid w:val="51E28EB7"/>
    <w:rsid w:val="54232032"/>
    <w:rsid w:val="57B2985F"/>
    <w:rsid w:val="58ACB446"/>
    <w:rsid w:val="5A4884A7"/>
    <w:rsid w:val="5FB2BDB0"/>
    <w:rsid w:val="60FBAAD0"/>
    <w:rsid w:val="64862ED3"/>
    <w:rsid w:val="64C26952"/>
    <w:rsid w:val="64EE8AE2"/>
    <w:rsid w:val="676AEC54"/>
    <w:rsid w:val="6808E645"/>
    <w:rsid w:val="6E66557A"/>
    <w:rsid w:val="705D32A1"/>
    <w:rsid w:val="743641FA"/>
    <w:rsid w:val="776FCCEE"/>
    <w:rsid w:val="7A4A5E56"/>
    <w:rsid w:val="7AC75C01"/>
    <w:rsid w:val="7BDD31B0"/>
    <w:rsid w:val="7BE62EB7"/>
    <w:rsid w:val="7DB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69B7"/>
  <w15:chartTrackingRefBased/>
  <w15:docId w15:val="{0EE002F4-1D28-4EE1-97E0-41254E04A7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ib.uab.cat/human/fonspersonals/capdevila/" TargetMode="External" Id="Rfe771fcded7448f1" /><Relationship Type="http://schemas.openxmlformats.org/officeDocument/2006/relationships/image" Target="/media/image2.jpg" Id="R841857c392304735" /><Relationship Type="http://schemas.openxmlformats.org/officeDocument/2006/relationships/hyperlink" Target="https://www.bib.uab.cat/human/fonspersonals/capdevila/" TargetMode="External" Id="Rb74c0a8e3fa24289" /><Relationship Type="http://schemas.openxmlformats.org/officeDocument/2006/relationships/image" Target="/media/image3.jpg" Id="R49684251c5924f66" /><Relationship Type="http://schemas.openxmlformats.org/officeDocument/2006/relationships/hyperlink" Target="https://www.bib.uab.cat/human/fonspersonals/capdevila/" TargetMode="External" Id="R4a9c146caaa947f0" /><Relationship Type="http://schemas.openxmlformats.org/officeDocument/2006/relationships/image" Target="/media/image4.jpg" Id="R0c1296b390f04b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9379D10A3B240B92433959816505A" ma:contentTypeVersion="13" ma:contentTypeDescription="Crea un document nou" ma:contentTypeScope="" ma:versionID="701cd9e57d0fb28fca7acbb961796414">
  <xsd:schema xmlns:xsd="http://www.w3.org/2001/XMLSchema" xmlns:xs="http://www.w3.org/2001/XMLSchema" xmlns:p="http://schemas.microsoft.com/office/2006/metadata/properties" xmlns:ns2="e281dbbe-c0e4-4851-a0fd-79c61842a52e" xmlns:ns3="250f1d46-b41b-49bd-a6ab-4ada433057ff" targetNamespace="http://schemas.microsoft.com/office/2006/metadata/properties" ma:root="true" ma:fieldsID="a345aeef64993167a5e3df1c0571c144" ns2:_="" ns3:_="">
    <xsd:import namespace="e281dbbe-c0e4-4851-a0fd-79c61842a52e"/>
    <xsd:import namespace="250f1d46-b41b-49bd-a6ab-4ada43305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dbbe-c0e4-4851-a0fd-79c61842a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1d46-b41b-49bd-a6ab-4ada43305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1dbbe-c0e4-4851-a0fd-79c61842a5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E2DB5F-A90F-41A7-837D-E1305F0BE6B6}"/>
</file>

<file path=customXml/itemProps2.xml><?xml version="1.0" encoding="utf-8"?>
<ds:datastoreItem xmlns:ds="http://schemas.openxmlformats.org/officeDocument/2006/customXml" ds:itemID="{6FFB9B6F-B106-45DA-B675-1D7D73A96538}"/>
</file>

<file path=customXml/itemProps3.xml><?xml version="1.0" encoding="utf-8"?>
<ds:datastoreItem xmlns:ds="http://schemas.openxmlformats.org/officeDocument/2006/customXml" ds:itemID="{529FB1F3-AA4E-4704-9880-FB90B0D08B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Gutierrez Folgueiras</dc:creator>
  <cp:keywords/>
  <dc:description/>
  <cp:lastModifiedBy>Cristina Fernández Vidal</cp:lastModifiedBy>
  <dcterms:created xsi:type="dcterms:W3CDTF">2023-09-27T06:47:49Z</dcterms:created>
  <dcterms:modified xsi:type="dcterms:W3CDTF">2023-09-28T19:22:46Z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0x0101003C69379D10A3B240B92433959816505A</vt:lpwstr>
  </property>
  <property fmtid="{D5CDD505-2E9C-101B-9397-08002B2CF9AE}" pid="3" name="MediaServiceImageTags">
    <vt:lpwstr/>
  </property>
</Properties>
</file>