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683C" w:rsidRDefault="000A2A0E">
      <w:pPr>
        <w:pStyle w:val="Textindependent"/>
        <w:spacing w:before="10"/>
        <w:ind w:left="0"/>
        <w:rPr>
          <w:b/>
          <w:sz w:val="29"/>
        </w:rPr>
      </w:pPr>
      <w:r>
        <w:rPr>
          <w:noProof/>
          <w:lang w:val="es-ES" w:eastAsia="es-ES" w:bidi="ar-SA"/>
        </w:rPr>
        <mc:AlternateContent>
          <mc:Choice Requires="wpg">
            <w:drawing>
              <wp:anchor distT="0" distB="0" distL="0" distR="0" simplePos="0" relativeHeight="251658240" behindDoc="1" locked="0" layoutInCell="1" allowOverlap="1">
                <wp:simplePos x="0" y="0"/>
                <wp:positionH relativeFrom="page">
                  <wp:posOffset>719455</wp:posOffset>
                </wp:positionH>
                <wp:positionV relativeFrom="paragraph">
                  <wp:posOffset>243205</wp:posOffset>
                </wp:positionV>
                <wp:extent cx="6119495" cy="20320"/>
                <wp:effectExtent l="0" t="0" r="0" b="0"/>
                <wp:wrapTopAndBottom/>
                <wp:docPr id="66"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9495" cy="20320"/>
                          <a:chOff x="1133" y="383"/>
                          <a:chExt cx="9637" cy="32"/>
                        </a:xfrm>
                      </wpg:grpSpPr>
                      <wps:wsp>
                        <wps:cNvPr id="67" name="Line 78"/>
                        <wps:cNvCnPr>
                          <a:cxnSpLocks noChangeShapeType="1"/>
                        </wps:cNvCnPr>
                        <wps:spPr bwMode="auto">
                          <a:xfrm>
                            <a:off x="1133" y="399"/>
                            <a:ext cx="9636" cy="0"/>
                          </a:xfrm>
                          <a:prstGeom prst="line">
                            <a:avLst/>
                          </a:prstGeom>
                          <a:noFill/>
                          <a:ln w="19685">
                            <a:solidFill>
                              <a:srgbClr val="A1A1A1"/>
                            </a:solidFill>
                            <a:prstDash val="solid"/>
                            <a:round/>
                            <a:headEnd/>
                            <a:tailEnd/>
                          </a:ln>
                          <a:extLst>
                            <a:ext uri="{909E8E84-426E-40DD-AFC4-6F175D3DCCD1}">
                              <a14:hiddenFill xmlns:a14="http://schemas.microsoft.com/office/drawing/2010/main">
                                <a:noFill/>
                              </a14:hiddenFill>
                            </a:ext>
                          </a:extLst>
                        </wps:spPr>
                        <wps:bodyPr/>
                      </wps:wsp>
                      <wps:wsp>
                        <wps:cNvPr id="68" name="Rectangle 77"/>
                        <wps:cNvSpPr>
                          <a:spLocks noChangeArrowheads="1"/>
                        </wps:cNvSpPr>
                        <wps:spPr bwMode="auto">
                          <a:xfrm>
                            <a:off x="1132" y="383"/>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76"/>
                        <wps:cNvSpPr>
                          <a:spLocks noChangeArrowheads="1"/>
                        </wps:cNvSpPr>
                        <wps:spPr bwMode="auto">
                          <a:xfrm>
                            <a:off x="1132" y="383"/>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Line 75"/>
                        <wps:cNvCnPr>
                          <a:cxnSpLocks noChangeShapeType="1"/>
                        </wps:cNvCnPr>
                        <wps:spPr bwMode="auto">
                          <a:xfrm>
                            <a:off x="1138" y="386"/>
                            <a:ext cx="9626" cy="0"/>
                          </a:xfrm>
                          <a:prstGeom prst="line">
                            <a:avLst/>
                          </a:prstGeom>
                          <a:noFill/>
                          <a:ln w="3035">
                            <a:solidFill>
                              <a:srgbClr val="A1A1A1"/>
                            </a:solidFill>
                            <a:prstDash val="solid"/>
                            <a:round/>
                            <a:headEnd/>
                            <a:tailEnd/>
                          </a:ln>
                          <a:extLst>
                            <a:ext uri="{909E8E84-426E-40DD-AFC4-6F175D3DCCD1}">
                              <a14:hiddenFill xmlns:a14="http://schemas.microsoft.com/office/drawing/2010/main">
                                <a:noFill/>
                              </a14:hiddenFill>
                            </a:ext>
                          </a:extLst>
                        </wps:spPr>
                        <wps:bodyPr/>
                      </wps:wsp>
                      <wps:wsp>
                        <wps:cNvPr id="71" name="Rectangle 74"/>
                        <wps:cNvSpPr>
                          <a:spLocks noChangeArrowheads="1"/>
                        </wps:cNvSpPr>
                        <wps:spPr bwMode="auto">
                          <a:xfrm>
                            <a:off x="10764" y="38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73"/>
                        <wps:cNvSpPr>
                          <a:spLocks noChangeArrowheads="1"/>
                        </wps:cNvSpPr>
                        <wps:spPr bwMode="auto">
                          <a:xfrm>
                            <a:off x="10764" y="383"/>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2"/>
                        <wps:cNvSpPr>
                          <a:spLocks noChangeArrowheads="1"/>
                        </wps:cNvSpPr>
                        <wps:spPr bwMode="auto">
                          <a:xfrm>
                            <a:off x="1132" y="388"/>
                            <a:ext cx="5" cy="22"/>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71"/>
                        <wps:cNvSpPr>
                          <a:spLocks noChangeArrowheads="1"/>
                        </wps:cNvSpPr>
                        <wps:spPr bwMode="auto">
                          <a:xfrm>
                            <a:off x="10764" y="388"/>
                            <a:ext cx="5" cy="22"/>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70"/>
                        <wps:cNvSpPr>
                          <a:spLocks noChangeArrowheads="1"/>
                        </wps:cNvSpPr>
                        <wps:spPr bwMode="auto">
                          <a:xfrm>
                            <a:off x="1132" y="409"/>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69"/>
                        <wps:cNvSpPr>
                          <a:spLocks noChangeArrowheads="1"/>
                        </wps:cNvSpPr>
                        <wps:spPr bwMode="auto">
                          <a:xfrm>
                            <a:off x="1132" y="409"/>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Line 68"/>
                        <wps:cNvCnPr>
                          <a:cxnSpLocks noChangeShapeType="1"/>
                        </wps:cNvCnPr>
                        <wps:spPr bwMode="auto">
                          <a:xfrm>
                            <a:off x="1138" y="412"/>
                            <a:ext cx="9626" cy="0"/>
                          </a:xfrm>
                          <a:prstGeom prst="line">
                            <a:avLst/>
                          </a:prstGeom>
                          <a:noFill/>
                          <a:ln w="3048">
                            <a:solidFill>
                              <a:srgbClr val="E4E4E4"/>
                            </a:solidFill>
                            <a:prstDash val="solid"/>
                            <a:round/>
                            <a:headEnd/>
                            <a:tailEnd/>
                          </a:ln>
                          <a:extLst>
                            <a:ext uri="{909E8E84-426E-40DD-AFC4-6F175D3DCCD1}">
                              <a14:hiddenFill xmlns:a14="http://schemas.microsoft.com/office/drawing/2010/main">
                                <a:noFill/>
                              </a14:hiddenFill>
                            </a:ext>
                          </a:extLst>
                        </wps:spPr>
                        <wps:bodyPr/>
                      </wps:wsp>
                      <wps:wsp>
                        <wps:cNvPr id="78" name="Rectangle 67"/>
                        <wps:cNvSpPr>
                          <a:spLocks noChangeArrowheads="1"/>
                        </wps:cNvSpPr>
                        <wps:spPr bwMode="auto">
                          <a:xfrm>
                            <a:off x="10764" y="409"/>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66"/>
                        <wps:cNvSpPr>
                          <a:spLocks noChangeArrowheads="1"/>
                        </wps:cNvSpPr>
                        <wps:spPr bwMode="auto">
                          <a:xfrm>
                            <a:off x="10764" y="409"/>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9572A4" id="Group 65" o:spid="_x0000_s1026" style="position:absolute;margin-left:56.65pt;margin-top:19.15pt;width:481.85pt;height:1.6pt;z-index:-251658240;mso-wrap-distance-left:0;mso-wrap-distance-right:0;mso-position-horizontal-relative:page" coordorigin="1133,383" coordsize="963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">
                <v:line id="Line 78" o:spid="_x0000_s1027" style="position:absolute;visibility:visible;mso-wrap-style:square" from="1133,399" to="10769,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" strokecolor="#a1a1a1" strokeweight="1.55pt"/>
                <v:rect id="Rectangle 77" o:spid="_x0000_s1028" style="position:absolute;left:1132;top:38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" fillcolor="#a1a1a1" stroked="f"/>
                <v:rect id="Rectangle 76" o:spid="_x0000_s1029" style="position:absolute;left:1132;top:38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" fillcolor="#a1a1a1" stroked="f"/>
                <v:line id="Line 75" o:spid="_x0000_s1030" style="position:absolute;visibility:visible;mso-wrap-style:square" from="1138,386" to="1076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" strokecolor="#a1a1a1" strokeweight=".08431mm"/>
                <v:rect id="Rectangle 74" o:spid="_x0000_s1031" style="position:absolute;left:10764;top:38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" fillcolor="#e4e4e4" stroked="f"/>
                <v:rect id="Rectangle 73" o:spid="_x0000_s1032" style="position:absolute;left:10764;top:38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" fillcolor="#a1a1a1" stroked="f"/>
                <v:rect id="Rectangle 72" o:spid="_x0000_s1033" style="position:absolute;left:1132;top:388;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" fillcolor="#a1a1a1" stroked="f"/>
                <v:rect id="Rectangle 71" o:spid="_x0000_s1034" style="position:absolute;left:10764;top:388;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" fillcolor="#e4e4e4" stroked="f"/>
                <v:rect id="Rectangle 70" o:spid="_x0000_s1035" style="position:absolute;left:1132;top:409;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" fillcolor="#a1a1a1" stroked="f"/>
                <v:rect id="Rectangle 69" o:spid="_x0000_s1036" style="position:absolute;left:1132;top:409;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" fillcolor="#e4e4e4" stroked="f"/>
                <v:line id="Line 68" o:spid="_x0000_s1037" style="position:absolute;visibility:visible;mso-wrap-style:square" from="1138,412" to="10764,4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" strokecolor="#e4e4e4" strokeweight=".24pt"/>
                <v:rect id="Rectangle 67" o:spid="_x0000_s1038" style="position:absolute;left:10764;top:409;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" fillcolor="#e4e4e4" stroked="f"/>
                <v:rect id="Rectangle 66" o:spid="_x0000_s1039" style="position:absolute;left:10764;top:409;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" fillcolor="#e4e4e4" stroked="f"/>
                <w10:wrap type="topAndBottom" anchorx="page"/>
              </v:group>
            </w:pict>
          </mc:Fallback>
        </mc:AlternateContent>
      </w:r>
    </w:p>
    <w:p w:rsidR="00AC683C" w:rsidRDefault="000A2A0E">
      <w:pPr>
        <w:pStyle w:val="Textindependent"/>
        <w:ind w:left="0"/>
        <w:rPr>
          <w:b/>
          <w:sz w:val="20"/>
        </w:rPr>
      </w:pPr>
      <w:r>
        <w:rPr>
          <w:noProof/>
          <w:lang w:val="es-ES" w:eastAsia="es-ES" w:bidi="ar-SA"/>
        </w:rPr>
        <w:drawing>
          <wp:anchor distT="0" distB="0" distL="0" distR="0" simplePos="0" relativeHeight="251658240" behindDoc="0" locked="0" layoutInCell="1" allowOverlap="1">
            <wp:simplePos x="0" y="0"/>
            <wp:positionH relativeFrom="page">
              <wp:posOffset>895350</wp:posOffset>
            </wp:positionH>
            <wp:positionV relativeFrom="paragraph">
              <wp:posOffset>219710</wp:posOffset>
            </wp:positionV>
            <wp:extent cx="667385" cy="622300"/>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667385" cy="622300"/>
                    </a:xfrm>
                    <a:prstGeom prst="rect">
                      <a:avLst/>
                    </a:prstGeom>
                  </pic:spPr>
                </pic:pic>
              </a:graphicData>
            </a:graphic>
            <wp14:sizeRelH relativeFrom="margin">
              <wp14:pctWidth>0</wp14:pctWidth>
            </wp14:sizeRelH>
            <wp14:sizeRelV relativeFrom="margin">
              <wp14:pctHeight>0</wp14:pctHeight>
            </wp14:sizeRelV>
          </wp:anchor>
        </w:drawing>
      </w:r>
    </w:p>
    <w:p w:rsidR="00AC683C" w:rsidRDefault="00AC683C">
      <w:pPr>
        <w:pStyle w:val="Textindependent"/>
        <w:ind w:left="0"/>
        <w:rPr>
          <w:b/>
          <w:sz w:val="20"/>
        </w:rPr>
      </w:pPr>
    </w:p>
    <w:p w:rsidR="00AC683C" w:rsidRDefault="00AC683C">
      <w:pPr>
        <w:pStyle w:val="Textindependent"/>
        <w:ind w:left="0"/>
        <w:rPr>
          <w:b/>
          <w:sz w:val="20"/>
        </w:rPr>
      </w:pPr>
    </w:p>
    <w:p w:rsidR="00AC683C" w:rsidRDefault="000A2A0E">
      <w:pPr>
        <w:spacing w:before="89"/>
        <w:ind w:left="2712" w:right="408" w:hanging="2295"/>
        <w:rPr>
          <w:b/>
          <w:sz w:val="32"/>
        </w:rPr>
      </w:pPr>
      <w:r>
        <w:rPr>
          <w:b/>
          <w:color w:val="1C4587"/>
          <w:sz w:val="32"/>
        </w:rPr>
        <w:t>Dipòsit Digital de Documents de la UAB</w:t>
      </w:r>
      <w:r w:rsidR="00FD2153">
        <w:rPr>
          <w:b/>
          <w:color w:val="1C4587"/>
          <w:sz w:val="32"/>
        </w:rPr>
        <w:t xml:space="preserve"> Requirements: </w:t>
      </w:r>
      <w:r>
        <w:rPr>
          <w:b/>
          <w:color w:val="1C4587"/>
          <w:sz w:val="32"/>
        </w:rPr>
        <w:t>2021</w:t>
      </w:r>
    </w:p>
    <w:p w:rsidR="00AC683C" w:rsidRDefault="000A2A0E">
      <w:pPr>
        <w:pStyle w:val="Textindependent"/>
        <w:spacing w:before="11"/>
        <w:ind w:left="0"/>
        <w:rPr>
          <w:b/>
          <w:sz w:val="21"/>
        </w:rPr>
      </w:pPr>
      <w:r>
        <w:rPr>
          <w:noProof/>
          <w:lang w:val="es-ES" w:eastAsia="es-ES" w:bidi="ar-SA"/>
        </w:rPr>
        <mc:AlternateContent>
          <mc:Choice Requires="wpg">
            <w:drawing>
              <wp:anchor distT="0" distB="0" distL="0" distR="0" simplePos="0" relativeHeight="251660288" behindDoc="1" locked="0" layoutInCell="1" allowOverlap="1">
                <wp:simplePos x="0" y="0"/>
                <wp:positionH relativeFrom="page">
                  <wp:posOffset>719455</wp:posOffset>
                </wp:positionH>
                <wp:positionV relativeFrom="paragraph">
                  <wp:posOffset>185420</wp:posOffset>
                </wp:positionV>
                <wp:extent cx="6119495" cy="20320"/>
                <wp:effectExtent l="0" t="0" r="0" b="0"/>
                <wp:wrapTopAndBottom/>
                <wp:docPr id="52"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9495" cy="20320"/>
                          <a:chOff x="1133" y="292"/>
                          <a:chExt cx="9637" cy="32"/>
                        </a:xfrm>
                      </wpg:grpSpPr>
                      <wps:wsp>
                        <wps:cNvPr id="53" name="Line 64"/>
                        <wps:cNvCnPr>
                          <a:cxnSpLocks noChangeShapeType="1"/>
                        </wps:cNvCnPr>
                        <wps:spPr bwMode="auto">
                          <a:xfrm>
                            <a:off x="1133" y="308"/>
                            <a:ext cx="9636" cy="0"/>
                          </a:xfrm>
                          <a:prstGeom prst="line">
                            <a:avLst/>
                          </a:prstGeom>
                          <a:noFill/>
                          <a:ln w="20320">
                            <a:solidFill>
                              <a:srgbClr val="A1A1A1"/>
                            </a:solidFill>
                            <a:prstDash val="solid"/>
                            <a:round/>
                            <a:headEnd/>
                            <a:tailEnd/>
                          </a:ln>
                          <a:extLst>
                            <a:ext uri="{909E8E84-426E-40DD-AFC4-6F175D3DCCD1}">
                              <a14:hiddenFill xmlns:a14="http://schemas.microsoft.com/office/drawing/2010/main">
                                <a:noFill/>
                              </a14:hiddenFill>
                            </a:ext>
                          </a:extLst>
                        </wps:spPr>
                        <wps:bodyPr/>
                      </wps:wsp>
                      <wps:wsp>
                        <wps:cNvPr id="54" name="Rectangle 63"/>
                        <wps:cNvSpPr>
                          <a:spLocks noChangeArrowheads="1"/>
                        </wps:cNvSpPr>
                        <wps:spPr bwMode="auto">
                          <a:xfrm>
                            <a:off x="1132" y="292"/>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62"/>
                        <wps:cNvSpPr>
                          <a:spLocks noChangeArrowheads="1"/>
                        </wps:cNvSpPr>
                        <wps:spPr bwMode="auto">
                          <a:xfrm>
                            <a:off x="1132" y="292"/>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Line 61"/>
                        <wps:cNvCnPr>
                          <a:cxnSpLocks noChangeShapeType="1"/>
                        </wps:cNvCnPr>
                        <wps:spPr bwMode="auto">
                          <a:xfrm>
                            <a:off x="1138" y="294"/>
                            <a:ext cx="9626" cy="0"/>
                          </a:xfrm>
                          <a:prstGeom prst="line">
                            <a:avLst/>
                          </a:prstGeom>
                          <a:noFill/>
                          <a:ln w="3048">
                            <a:solidFill>
                              <a:srgbClr val="A1A1A1"/>
                            </a:solidFill>
                            <a:prstDash val="solid"/>
                            <a:round/>
                            <a:headEnd/>
                            <a:tailEnd/>
                          </a:ln>
                          <a:extLst>
                            <a:ext uri="{909E8E84-426E-40DD-AFC4-6F175D3DCCD1}">
                              <a14:hiddenFill xmlns:a14="http://schemas.microsoft.com/office/drawing/2010/main">
                                <a:noFill/>
                              </a14:hiddenFill>
                            </a:ext>
                          </a:extLst>
                        </wps:spPr>
                        <wps:bodyPr/>
                      </wps:wsp>
                      <wps:wsp>
                        <wps:cNvPr id="57" name="Rectangle 60"/>
                        <wps:cNvSpPr>
                          <a:spLocks noChangeArrowheads="1"/>
                        </wps:cNvSpPr>
                        <wps:spPr bwMode="auto">
                          <a:xfrm>
                            <a:off x="10764" y="292"/>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59"/>
                        <wps:cNvSpPr>
                          <a:spLocks noChangeArrowheads="1"/>
                        </wps:cNvSpPr>
                        <wps:spPr bwMode="auto">
                          <a:xfrm>
                            <a:off x="10764" y="292"/>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58"/>
                        <wps:cNvSpPr>
                          <a:spLocks noChangeArrowheads="1"/>
                        </wps:cNvSpPr>
                        <wps:spPr bwMode="auto">
                          <a:xfrm>
                            <a:off x="1132" y="296"/>
                            <a:ext cx="5" cy="22"/>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Rectangle 57"/>
                        <wps:cNvSpPr>
                          <a:spLocks noChangeArrowheads="1"/>
                        </wps:cNvSpPr>
                        <wps:spPr bwMode="auto">
                          <a:xfrm>
                            <a:off x="10764" y="296"/>
                            <a:ext cx="5" cy="22"/>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56"/>
                        <wps:cNvSpPr>
                          <a:spLocks noChangeArrowheads="1"/>
                        </wps:cNvSpPr>
                        <wps:spPr bwMode="auto">
                          <a:xfrm>
                            <a:off x="1132" y="318"/>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55"/>
                        <wps:cNvSpPr>
                          <a:spLocks noChangeArrowheads="1"/>
                        </wps:cNvSpPr>
                        <wps:spPr bwMode="auto">
                          <a:xfrm>
                            <a:off x="1132" y="318"/>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Line 54"/>
                        <wps:cNvCnPr>
                          <a:cxnSpLocks noChangeShapeType="1"/>
                        </wps:cNvCnPr>
                        <wps:spPr bwMode="auto">
                          <a:xfrm>
                            <a:off x="1138" y="321"/>
                            <a:ext cx="9626" cy="0"/>
                          </a:xfrm>
                          <a:prstGeom prst="line">
                            <a:avLst/>
                          </a:prstGeom>
                          <a:noFill/>
                          <a:ln w="3035">
                            <a:solidFill>
                              <a:srgbClr val="E4E4E4"/>
                            </a:solidFill>
                            <a:prstDash val="solid"/>
                            <a:round/>
                            <a:headEnd/>
                            <a:tailEnd/>
                          </a:ln>
                          <a:extLst>
                            <a:ext uri="{909E8E84-426E-40DD-AFC4-6F175D3DCCD1}">
                              <a14:hiddenFill xmlns:a14="http://schemas.microsoft.com/office/drawing/2010/main">
                                <a:noFill/>
                              </a14:hiddenFill>
                            </a:ext>
                          </a:extLst>
                        </wps:spPr>
                        <wps:bodyPr/>
                      </wps:wsp>
                      <wps:wsp>
                        <wps:cNvPr id="64" name="Rectangle 53"/>
                        <wps:cNvSpPr>
                          <a:spLocks noChangeArrowheads="1"/>
                        </wps:cNvSpPr>
                        <wps:spPr bwMode="auto">
                          <a:xfrm>
                            <a:off x="10764" y="318"/>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Rectangle 52"/>
                        <wps:cNvSpPr>
                          <a:spLocks noChangeArrowheads="1"/>
                        </wps:cNvSpPr>
                        <wps:spPr bwMode="auto">
                          <a:xfrm>
                            <a:off x="10764" y="318"/>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638AF5" id="Group 51" o:spid="_x0000_s1026" style="position:absolute;margin-left:56.65pt;margin-top:14.6pt;width:481.85pt;height:1.6pt;z-index:-251656192;mso-wrap-distance-left:0;mso-wrap-distance-right:0;mso-position-horizontal-relative:page" coordorigin="1133,292" coordsize="963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">
                <v:line id="Line 64" o:spid="_x0000_s1027" style="position:absolute;visibility:visible;mso-wrap-style:square" from="1133,308" to="10769,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" strokecolor="#a1a1a1" strokeweight="1.6pt"/>
                <v:rect id="Rectangle 63" o:spid="_x0000_s1028" style="position:absolute;left:1132;top:292;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" fillcolor="#a1a1a1" stroked="f"/>
                <v:rect id="Rectangle 62" o:spid="_x0000_s1029" style="position:absolute;left:1132;top:292;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" fillcolor="#a1a1a1" stroked="f"/>
                <v:line id="Line 61" o:spid="_x0000_s1030" style="position:absolute;visibility:visible;mso-wrap-style:square" from="1138,294" to="10764,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" strokecolor="#a1a1a1" strokeweight=".24pt"/>
                <v:rect id="Rectangle 60" o:spid="_x0000_s1031" style="position:absolute;left:10764;top:292;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" fillcolor="#e4e4e4" stroked="f"/>
                <v:rect id="Rectangle 59" o:spid="_x0000_s1032" style="position:absolute;left:10764;top:292;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" fillcolor="#a1a1a1" stroked="f"/>
                <v:rect id="Rectangle 58" o:spid="_x0000_s1033" style="position:absolute;left:1132;top:296;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" fillcolor="#a1a1a1" stroked="f"/>
                <v:rect id="Rectangle 57" o:spid="_x0000_s1034" style="position:absolute;left:10764;top:296;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" fillcolor="#e4e4e4" stroked="f"/>
                <v:rect id="Rectangle 56" o:spid="_x0000_s1035" style="position:absolute;left:1132;top:318;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" fillcolor="#a1a1a1" stroked="f"/>
                <v:rect id="Rectangle 55" o:spid="_x0000_s1036" style="position:absolute;left:1132;top:318;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" fillcolor="#e4e4e4" stroked="f"/>
                <v:line id="Line 54" o:spid="_x0000_s1037" style="position:absolute;visibility:visible;mso-wrap-style:square" from="1138,321" to="10764,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" strokecolor="#e4e4e4" strokeweight=".08431mm"/>
                <v:rect id="Rectangle 53" o:spid="_x0000_s1038" style="position:absolute;left:10764;top:318;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" fillcolor="#e4e4e4" stroked="f"/>
                <v:rect id="Rectangle 52" o:spid="_x0000_s1039" style="position:absolute;left:10764;top:318;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" fillcolor="#e4e4e4" stroked="f"/>
                <w10:wrap type="topAndBottom" anchorx="page"/>
              </v:group>
            </w:pict>
          </mc:Fallback>
        </mc:AlternateContent>
      </w:r>
    </w:p>
    <w:p w:rsidR="00AC683C" w:rsidRDefault="00AC683C">
      <w:pPr>
        <w:rPr>
          <w:sz w:val="21"/>
        </w:rPr>
        <w:sectPr w:rsidR="00AC683C">
          <w:type w:val="continuous"/>
          <w:pgSz w:w="11910" w:h="16840"/>
          <w:pgMar w:top="1040" w:right="900" w:bottom="280" w:left="900" w:header="720" w:footer="720" w:gutter="0"/>
          <w:cols w:space="720"/>
        </w:sectPr>
      </w:pPr>
    </w:p>
    <w:p w:rsidR="00AC683C" w:rsidRDefault="00FD2153">
      <w:pPr>
        <w:spacing w:before="93"/>
        <w:ind w:left="232"/>
        <w:rPr>
          <w:rFonts w:ascii="Calibri"/>
          <w:sz w:val="32"/>
        </w:rPr>
      </w:pPr>
      <w:r>
        <w:rPr>
          <w:rFonts w:ascii="Calibri"/>
          <w:color w:val="365F91"/>
          <w:sz w:val="32"/>
        </w:rPr>
        <w:lastRenderedPageBreak/>
        <w:t>Contents</w:t>
      </w:r>
    </w:p>
    <w:sdt>
      <w:sdtPr>
        <w:id w:val="1714692163"/>
        <w:docPartObj>
          <w:docPartGallery w:val="Table of Contents"/>
          <w:docPartUnique/>
        </w:docPartObj>
      </w:sdtPr>
      <w:sdtEndPr/>
      <w:sdtContent>
        <w:p w:rsidR="00AC683C" w:rsidRDefault="00FD2153">
          <w:pPr>
            <w:pStyle w:val="IDC1"/>
            <w:tabs>
              <w:tab w:val="right" w:leader="dot" w:pos="9627"/>
            </w:tabs>
            <w:spacing w:before="31"/>
            <w:ind w:right="242"/>
          </w:pPr>
          <w:hyperlink w:anchor="_bookmark0" w:history="1">
            <w:r>
              <w:t>Introduction</w:t>
            </w:r>
            <w:r>
              <w:tab/>
              <w:t>3</w:t>
            </w:r>
          </w:hyperlink>
        </w:p>
        <w:p w:rsidR="00AC683C" w:rsidRDefault="00FD2153">
          <w:pPr>
            <w:pStyle w:val="IDC1"/>
            <w:tabs>
              <w:tab w:val="right" w:leader="dot" w:pos="9626"/>
            </w:tabs>
            <w:spacing w:before="101"/>
            <w:ind w:right="242"/>
          </w:pPr>
          <w:hyperlink w:anchor="_bookmark1" w:history="1">
            <w:r>
              <w:t>Background &amp;</w:t>
            </w:r>
            <w:r>
              <w:rPr>
                <w:spacing w:val="-2"/>
              </w:rPr>
              <w:t xml:space="preserve"> </w:t>
            </w:r>
            <w:r>
              <w:t>General</w:t>
            </w:r>
            <w:r>
              <w:rPr>
                <w:spacing w:val="-2"/>
              </w:rPr>
              <w:t xml:space="preserve"> </w:t>
            </w:r>
            <w:r>
              <w:t>Guidance</w:t>
            </w:r>
            <w:r>
              <w:tab/>
              <w:t>3</w:t>
            </w:r>
          </w:hyperlink>
        </w:p>
        <w:p w:rsidR="00AC683C" w:rsidRDefault="00FD2153">
          <w:pPr>
            <w:pStyle w:val="IDC1"/>
            <w:tabs>
              <w:tab w:val="right" w:leader="dot" w:pos="9626"/>
            </w:tabs>
            <w:ind w:right="242"/>
          </w:pPr>
          <w:hyperlink w:anchor="_bookmark2" w:history="1">
            <w:r>
              <w:t>Glossary</w:t>
            </w:r>
            <w:r>
              <w:rPr>
                <w:spacing w:val="-4"/>
              </w:rPr>
              <w:t xml:space="preserve"> </w:t>
            </w:r>
            <w:r>
              <w:t>of Terms</w:t>
            </w:r>
            <w:r>
              <w:tab/>
              <w:t>4</w:t>
            </w:r>
          </w:hyperlink>
        </w:p>
        <w:p w:rsidR="00AC683C" w:rsidRDefault="00FD2153">
          <w:pPr>
            <w:pStyle w:val="IDC1"/>
            <w:tabs>
              <w:tab w:val="right" w:leader="dot" w:pos="9627"/>
            </w:tabs>
            <w:spacing w:before="101"/>
            <w:ind w:right="242"/>
          </w:pPr>
          <w:hyperlink w:anchor="_bookmark3" w:history="1">
            <w:r>
              <w:t>General</w:t>
            </w:r>
            <w:r>
              <w:rPr>
                <w:spacing w:val="-1"/>
              </w:rPr>
              <w:t xml:space="preserve"> </w:t>
            </w:r>
            <w:r>
              <w:t>Extended</w:t>
            </w:r>
            <w:r>
              <w:rPr>
                <w:spacing w:val="-1"/>
              </w:rPr>
              <w:t xml:space="preserve"> </w:t>
            </w:r>
            <w:r>
              <w:t>Guidance</w:t>
            </w:r>
            <w:r>
              <w:tab/>
              <w:t>4</w:t>
            </w:r>
          </w:hyperlink>
        </w:p>
        <w:p w:rsidR="00AC683C" w:rsidRDefault="00FD2153">
          <w:pPr>
            <w:pStyle w:val="IDC1"/>
            <w:tabs>
              <w:tab w:val="right" w:leader="dot" w:pos="9427"/>
            </w:tabs>
            <w:ind w:right="242"/>
          </w:pPr>
          <w:hyperlink w:anchor="_bookmark4" w:history="1">
            <w:r>
              <w:t>Introduction:</w:t>
            </w:r>
            <w:r>
              <w:rPr>
                <w:spacing w:val="-2"/>
              </w:rPr>
              <w:t xml:space="preserve"> </w:t>
            </w:r>
            <w:r>
              <w:t>General Points</w:t>
            </w:r>
            <w:r>
              <w:tab/>
              <w:t>4</w:t>
            </w:r>
          </w:hyperlink>
        </w:p>
        <w:p w:rsidR="00AC683C" w:rsidRDefault="00FD2153">
          <w:pPr>
            <w:pStyle w:val="IDC1"/>
            <w:tabs>
              <w:tab w:val="right" w:leader="dot" w:pos="9427"/>
            </w:tabs>
            <w:spacing w:before="101"/>
            <w:ind w:right="242"/>
          </w:pPr>
          <w:hyperlink w:anchor="_bookmark5" w:history="1">
            <w:r>
              <w:t>Missing information/evidence</w:t>
            </w:r>
            <w:r>
              <w:tab/>
              <w:t>4</w:t>
            </w:r>
          </w:hyperlink>
        </w:p>
        <w:p w:rsidR="00AC683C" w:rsidRDefault="00FD2153">
          <w:pPr>
            <w:pStyle w:val="IDC1"/>
            <w:tabs>
              <w:tab w:val="right" w:leader="dot" w:pos="9427"/>
            </w:tabs>
            <w:ind w:right="242"/>
          </w:pPr>
          <w:hyperlink w:anchor="_bookmark6" w:history="1">
            <w:r>
              <w:t>Understandability</w:t>
            </w:r>
            <w:r>
              <w:rPr>
                <w:spacing w:val="-5"/>
              </w:rPr>
              <w:t xml:space="preserve"> </w:t>
            </w:r>
            <w:r>
              <w:t>of</w:t>
            </w:r>
            <w:r>
              <w:rPr>
                <w:spacing w:val="1"/>
              </w:rPr>
              <w:t xml:space="preserve"> </w:t>
            </w:r>
            <w:r>
              <w:t>documentation</w:t>
            </w:r>
            <w:r>
              <w:tab/>
              <w:t>4</w:t>
            </w:r>
          </w:hyperlink>
        </w:p>
        <w:p w:rsidR="00AC683C" w:rsidRDefault="00FD2153">
          <w:pPr>
            <w:pStyle w:val="IDC1"/>
            <w:tabs>
              <w:tab w:val="right" w:leader="dot" w:pos="9427"/>
            </w:tabs>
            <w:spacing w:before="101"/>
            <w:ind w:right="242"/>
          </w:pPr>
          <w:hyperlink w:anchor="_bookmark7" w:history="1">
            <w:r>
              <w:t>Non-English language</w:t>
            </w:r>
            <w:r>
              <w:rPr>
                <w:spacing w:val="1"/>
              </w:rPr>
              <w:t xml:space="preserve"> </w:t>
            </w:r>
            <w:r>
              <w:t>documentation</w:t>
            </w:r>
            <w:r>
              <w:tab/>
              <w:t>5</w:t>
            </w:r>
          </w:hyperlink>
        </w:p>
        <w:p w:rsidR="00AC683C" w:rsidRDefault="00FD2153">
          <w:pPr>
            <w:pStyle w:val="IDC1"/>
            <w:tabs>
              <w:tab w:val="right" w:leader="dot" w:pos="9427"/>
            </w:tabs>
            <w:ind w:right="242"/>
          </w:pPr>
          <w:hyperlink w:anchor="_bookmark8" w:history="1">
            <w:r>
              <w:t>Sensitive and other</w:t>
            </w:r>
            <w:r>
              <w:rPr>
                <w:spacing w:val="1"/>
              </w:rPr>
              <w:t xml:space="preserve"> </w:t>
            </w:r>
            <w:r>
              <w:t>internal docu</w:t>
            </w:r>
            <w:r>
              <w:t>mentation</w:t>
            </w:r>
            <w:r>
              <w:tab/>
              <w:t>5</w:t>
            </w:r>
          </w:hyperlink>
        </w:p>
        <w:p w:rsidR="00AC683C" w:rsidRDefault="00FD2153">
          <w:pPr>
            <w:pStyle w:val="IDC1"/>
            <w:tabs>
              <w:tab w:val="right" w:leader="dot" w:pos="9427"/>
            </w:tabs>
            <w:spacing w:before="101"/>
            <w:ind w:right="242"/>
          </w:pPr>
          <w:hyperlink w:anchor="_bookmark9" w:history="1">
            <w:r>
              <w:t>Application structure</w:t>
            </w:r>
            <w:r>
              <w:rPr>
                <w:spacing w:val="-1"/>
              </w:rPr>
              <w:t xml:space="preserve"> </w:t>
            </w:r>
            <w:r>
              <w:t>and</w:t>
            </w:r>
            <w:r>
              <w:rPr>
                <w:spacing w:val="1"/>
              </w:rPr>
              <w:t xml:space="preserve"> </w:t>
            </w:r>
            <w:r>
              <w:t>length</w:t>
            </w:r>
            <w:r>
              <w:tab/>
              <w:t>5</w:t>
            </w:r>
          </w:hyperlink>
        </w:p>
        <w:p w:rsidR="00AC683C" w:rsidRDefault="00FD2153">
          <w:pPr>
            <w:pStyle w:val="IDC1"/>
            <w:tabs>
              <w:tab w:val="right" w:leader="dot" w:pos="9626"/>
            </w:tabs>
            <w:ind w:right="242"/>
          </w:pPr>
          <w:hyperlink w:anchor="_bookmark11" w:history="1">
            <w:r>
              <w:t>Requirements</w:t>
            </w:r>
            <w:r>
              <w:tab/>
              <w:t>6</w:t>
            </w:r>
          </w:hyperlink>
        </w:p>
        <w:p w:rsidR="00AC683C" w:rsidRDefault="00FD2153">
          <w:pPr>
            <w:pStyle w:val="IDC1"/>
            <w:tabs>
              <w:tab w:val="right" w:leader="dot" w:pos="9427"/>
            </w:tabs>
            <w:spacing w:before="101"/>
            <w:ind w:right="242"/>
          </w:pPr>
          <w:hyperlink w:anchor="_bookmark12" w:history="1">
            <w:r>
              <w:t>Background</w:t>
            </w:r>
            <w:r>
              <w:rPr>
                <w:spacing w:val="-2"/>
              </w:rPr>
              <w:t xml:space="preserve"> </w:t>
            </w:r>
            <w:r>
              <w:t>Information</w:t>
            </w:r>
            <w:r>
              <w:tab/>
              <w:t>6</w:t>
            </w:r>
          </w:hyperlink>
        </w:p>
        <w:p w:rsidR="00AC683C" w:rsidRDefault="00FD2153">
          <w:pPr>
            <w:pStyle w:val="IDC1"/>
            <w:tabs>
              <w:tab w:val="right" w:leader="dot" w:pos="9226"/>
            </w:tabs>
            <w:ind w:right="242"/>
          </w:pPr>
          <w:hyperlink w:anchor="_bookmark13" w:history="1">
            <w:r>
              <w:t>Context</w:t>
            </w:r>
            <w:r>
              <w:tab/>
              <w:t>6</w:t>
            </w:r>
          </w:hyperlink>
        </w:p>
        <w:p w:rsidR="00AC683C" w:rsidRDefault="00FD2153">
          <w:pPr>
            <w:pStyle w:val="IDC1"/>
            <w:tabs>
              <w:tab w:val="right" w:leader="dot" w:pos="9424"/>
            </w:tabs>
            <w:spacing w:before="101"/>
          </w:pPr>
          <w:hyperlink w:anchor="_bookmark14" w:history="1">
            <w:r>
              <w:t>Organ</w:t>
            </w:r>
            <w:r>
              <w:t>izational</w:t>
            </w:r>
            <w:r>
              <w:rPr>
                <w:spacing w:val="-1"/>
              </w:rPr>
              <w:t xml:space="preserve"> </w:t>
            </w:r>
            <w:r>
              <w:t>Infrastructure</w:t>
            </w:r>
            <w:r>
              <w:tab/>
              <w:t>10</w:t>
            </w:r>
          </w:hyperlink>
        </w:p>
        <w:p w:rsidR="00AC683C" w:rsidRDefault="00FD2153">
          <w:pPr>
            <w:pStyle w:val="IDC1"/>
            <w:numPr>
              <w:ilvl w:val="0"/>
              <w:numId w:val="8"/>
            </w:numPr>
            <w:tabs>
              <w:tab w:val="left" w:pos="221"/>
              <w:tab w:val="right" w:leader="dot" w:pos="9223"/>
            </w:tabs>
            <w:ind w:hanging="855"/>
            <w:jc w:val="right"/>
          </w:pPr>
          <w:hyperlink w:anchor="_bookmark15" w:history="1">
            <w:r>
              <w:t>Mission/Scope</w:t>
            </w:r>
            <w:r>
              <w:tab/>
              <w:t>10</w:t>
            </w:r>
          </w:hyperlink>
        </w:p>
        <w:p w:rsidR="00AC683C" w:rsidRDefault="00FD2153">
          <w:pPr>
            <w:pStyle w:val="IDC1"/>
            <w:numPr>
              <w:ilvl w:val="0"/>
              <w:numId w:val="8"/>
            </w:numPr>
            <w:tabs>
              <w:tab w:val="left" w:pos="221"/>
              <w:tab w:val="right" w:leader="dot" w:pos="9222"/>
            </w:tabs>
            <w:spacing w:before="101"/>
            <w:ind w:hanging="855"/>
            <w:jc w:val="right"/>
          </w:pPr>
          <w:hyperlink w:anchor="_bookmark16" w:history="1">
            <w:r>
              <w:t>Licenses</w:t>
            </w:r>
            <w:r>
              <w:tab/>
              <w:t>11</w:t>
            </w:r>
          </w:hyperlink>
        </w:p>
        <w:p w:rsidR="00AC683C" w:rsidRDefault="00FD2153">
          <w:pPr>
            <w:pStyle w:val="IDC1"/>
            <w:numPr>
              <w:ilvl w:val="0"/>
              <w:numId w:val="8"/>
            </w:numPr>
            <w:tabs>
              <w:tab w:val="left" w:pos="221"/>
              <w:tab w:val="right" w:leader="dot" w:pos="9223"/>
            </w:tabs>
            <w:ind w:hanging="855"/>
            <w:jc w:val="right"/>
          </w:pPr>
          <w:hyperlink w:anchor="_bookmark17" w:history="1">
            <w:r>
              <w:t>Continuity</w:t>
            </w:r>
            <w:r>
              <w:rPr>
                <w:spacing w:val="-3"/>
              </w:rPr>
              <w:t xml:space="preserve"> </w:t>
            </w:r>
            <w:r>
              <w:t>of</w:t>
            </w:r>
            <w:r>
              <w:rPr>
                <w:spacing w:val="1"/>
              </w:rPr>
              <w:t xml:space="preserve"> </w:t>
            </w:r>
            <w:r>
              <w:t>access</w:t>
            </w:r>
            <w:r>
              <w:tab/>
              <w:t>12</w:t>
            </w:r>
          </w:hyperlink>
        </w:p>
        <w:p w:rsidR="00AC683C" w:rsidRDefault="00FD2153">
          <w:pPr>
            <w:pStyle w:val="IDC1"/>
            <w:numPr>
              <w:ilvl w:val="0"/>
              <w:numId w:val="8"/>
            </w:numPr>
            <w:tabs>
              <w:tab w:val="left" w:pos="221"/>
              <w:tab w:val="right" w:leader="dot" w:pos="9223"/>
            </w:tabs>
            <w:spacing w:before="102"/>
            <w:ind w:hanging="855"/>
            <w:jc w:val="right"/>
          </w:pPr>
          <w:hyperlink w:anchor="_bookmark18" w:history="1">
            <w:r>
              <w:t>Confidentiality/Ethics</w:t>
            </w:r>
            <w:r>
              <w:tab/>
              <w:t>13</w:t>
            </w:r>
          </w:hyperlink>
        </w:p>
        <w:p w:rsidR="00AC683C" w:rsidRDefault="00FD2153">
          <w:pPr>
            <w:pStyle w:val="IDC1"/>
            <w:numPr>
              <w:ilvl w:val="0"/>
              <w:numId w:val="8"/>
            </w:numPr>
            <w:tabs>
              <w:tab w:val="left" w:pos="221"/>
              <w:tab w:val="right" w:leader="dot" w:pos="9223"/>
            </w:tabs>
            <w:spacing w:before="98"/>
            <w:ind w:hanging="855"/>
            <w:jc w:val="right"/>
          </w:pPr>
          <w:hyperlink w:anchor="_bookmark19" w:history="1">
            <w:r>
              <w:t>Organizational</w:t>
            </w:r>
            <w:r>
              <w:rPr>
                <w:spacing w:val="-1"/>
              </w:rPr>
              <w:t xml:space="preserve"> </w:t>
            </w:r>
            <w:r>
              <w:t>infrastructure</w:t>
            </w:r>
            <w:r>
              <w:tab/>
              <w:t>14</w:t>
            </w:r>
          </w:hyperlink>
        </w:p>
        <w:p w:rsidR="00AC683C" w:rsidRDefault="00FD2153">
          <w:pPr>
            <w:pStyle w:val="IDC1"/>
            <w:numPr>
              <w:ilvl w:val="0"/>
              <w:numId w:val="8"/>
            </w:numPr>
            <w:tabs>
              <w:tab w:val="left" w:pos="221"/>
              <w:tab w:val="right" w:leader="dot" w:pos="9222"/>
            </w:tabs>
            <w:ind w:hanging="855"/>
            <w:jc w:val="right"/>
          </w:pPr>
          <w:hyperlink w:anchor="_bookmark20" w:history="1">
            <w:r>
              <w:t>Expert</w:t>
            </w:r>
            <w:r>
              <w:rPr>
                <w:spacing w:val="-2"/>
              </w:rPr>
              <w:t xml:space="preserve"> </w:t>
            </w:r>
            <w:r>
              <w:t>guidance</w:t>
            </w:r>
            <w:r>
              <w:tab/>
              <w:t>15</w:t>
            </w:r>
          </w:hyperlink>
        </w:p>
        <w:p w:rsidR="00AC683C" w:rsidRDefault="00FD2153">
          <w:pPr>
            <w:pStyle w:val="IDC1"/>
            <w:tabs>
              <w:tab w:val="right" w:leader="dot" w:pos="9424"/>
            </w:tabs>
            <w:spacing w:before="101"/>
          </w:pPr>
          <w:hyperlink w:anchor="_bookmark21" w:history="1">
            <w:r>
              <w:t>Digital</w:t>
            </w:r>
            <w:r>
              <w:rPr>
                <w:spacing w:val="-3"/>
              </w:rPr>
              <w:t xml:space="preserve"> </w:t>
            </w:r>
            <w:r>
              <w:t>Object</w:t>
            </w:r>
            <w:r>
              <w:rPr>
                <w:spacing w:val="-1"/>
              </w:rPr>
              <w:t xml:space="preserve"> </w:t>
            </w:r>
            <w:r>
              <w:t>Management</w:t>
            </w:r>
            <w:r>
              <w:tab/>
              <w:t>16</w:t>
            </w:r>
          </w:hyperlink>
        </w:p>
        <w:p w:rsidR="00AC683C" w:rsidRDefault="00FD2153">
          <w:pPr>
            <w:pStyle w:val="IDC1"/>
            <w:numPr>
              <w:ilvl w:val="0"/>
              <w:numId w:val="8"/>
            </w:numPr>
            <w:tabs>
              <w:tab w:val="left" w:pos="221"/>
              <w:tab w:val="right" w:leader="dot" w:pos="9222"/>
            </w:tabs>
            <w:ind w:hanging="855"/>
            <w:jc w:val="right"/>
          </w:pPr>
          <w:hyperlink w:anchor="_bookmark22" w:history="1">
            <w:r>
              <w:t>Data integrity</w:t>
            </w:r>
            <w:r>
              <w:rPr>
                <w:spacing w:val="-6"/>
              </w:rPr>
              <w:t xml:space="preserve"> </w:t>
            </w:r>
            <w:r>
              <w:t>and</w:t>
            </w:r>
            <w:r>
              <w:rPr>
                <w:spacing w:val="-1"/>
              </w:rPr>
              <w:t xml:space="preserve"> </w:t>
            </w:r>
            <w:r>
              <w:t>authenticity</w:t>
            </w:r>
            <w:r>
              <w:tab/>
              <w:t>16</w:t>
            </w:r>
          </w:hyperlink>
        </w:p>
        <w:p w:rsidR="00AC683C" w:rsidRDefault="00FD2153">
          <w:pPr>
            <w:pStyle w:val="IDC1"/>
            <w:numPr>
              <w:ilvl w:val="0"/>
              <w:numId w:val="8"/>
            </w:numPr>
            <w:tabs>
              <w:tab w:val="left" w:pos="221"/>
              <w:tab w:val="right" w:leader="dot" w:pos="9222"/>
            </w:tabs>
            <w:spacing w:before="101"/>
            <w:ind w:hanging="855"/>
            <w:jc w:val="right"/>
          </w:pPr>
          <w:hyperlink w:anchor="_bookmark23" w:history="1">
            <w:r>
              <w:t>Appraisal</w:t>
            </w:r>
            <w:r>
              <w:tab/>
              <w:t>17</w:t>
            </w:r>
          </w:hyperlink>
        </w:p>
        <w:p w:rsidR="00AC683C" w:rsidRDefault="00FD2153">
          <w:pPr>
            <w:pStyle w:val="IDC1"/>
            <w:numPr>
              <w:ilvl w:val="0"/>
              <w:numId w:val="8"/>
            </w:numPr>
            <w:tabs>
              <w:tab w:val="left" w:pos="221"/>
              <w:tab w:val="right" w:leader="dot" w:pos="9222"/>
            </w:tabs>
            <w:ind w:hanging="855"/>
            <w:jc w:val="right"/>
          </w:pPr>
          <w:hyperlink w:anchor="_bookmark24" w:history="1">
            <w:r>
              <w:t>Documented</w:t>
            </w:r>
            <w:r>
              <w:rPr>
                <w:spacing w:val="-2"/>
              </w:rPr>
              <w:t xml:space="preserve"> </w:t>
            </w:r>
            <w:r>
              <w:t>storage</w:t>
            </w:r>
            <w:r>
              <w:rPr>
                <w:spacing w:val="1"/>
              </w:rPr>
              <w:t xml:space="preserve"> </w:t>
            </w:r>
            <w:r>
              <w:t>procedures</w:t>
            </w:r>
            <w:r>
              <w:tab/>
              <w:t>18</w:t>
            </w:r>
          </w:hyperlink>
        </w:p>
        <w:p w:rsidR="00AC683C" w:rsidRDefault="00FD2153">
          <w:pPr>
            <w:pStyle w:val="IDC1"/>
            <w:numPr>
              <w:ilvl w:val="0"/>
              <w:numId w:val="8"/>
            </w:numPr>
            <w:tabs>
              <w:tab w:val="left" w:pos="334"/>
              <w:tab w:val="right" w:leader="dot" w:pos="9223"/>
            </w:tabs>
            <w:spacing w:before="101"/>
            <w:ind w:left="967" w:hanging="968"/>
            <w:jc w:val="right"/>
          </w:pPr>
          <w:hyperlink w:anchor="_bookmark25" w:history="1">
            <w:r>
              <w:t>Preservation</w:t>
            </w:r>
            <w:r>
              <w:rPr>
                <w:spacing w:val="-2"/>
              </w:rPr>
              <w:t xml:space="preserve"> </w:t>
            </w:r>
            <w:r>
              <w:t>plan</w:t>
            </w:r>
            <w:r>
              <w:tab/>
              <w:t>19</w:t>
            </w:r>
          </w:hyperlink>
        </w:p>
        <w:p w:rsidR="00AC683C" w:rsidRDefault="00FD2153">
          <w:pPr>
            <w:pStyle w:val="IDC1"/>
            <w:numPr>
              <w:ilvl w:val="0"/>
              <w:numId w:val="8"/>
            </w:numPr>
            <w:tabs>
              <w:tab w:val="left" w:pos="332"/>
              <w:tab w:val="right" w:leader="dot" w:pos="9223"/>
            </w:tabs>
            <w:ind w:left="964" w:hanging="965"/>
            <w:jc w:val="right"/>
          </w:pPr>
          <w:hyperlink w:anchor="_bookmark26" w:history="1">
            <w:r>
              <w:t>Data quality</w:t>
            </w:r>
            <w:r>
              <w:tab/>
              <w:t>20</w:t>
            </w:r>
          </w:hyperlink>
        </w:p>
        <w:p w:rsidR="00AC683C" w:rsidRDefault="00FD2153">
          <w:pPr>
            <w:pStyle w:val="IDC1"/>
            <w:numPr>
              <w:ilvl w:val="0"/>
              <w:numId w:val="8"/>
            </w:numPr>
            <w:tabs>
              <w:tab w:val="left" w:pos="329"/>
              <w:tab w:val="right" w:leader="dot" w:pos="9223"/>
            </w:tabs>
            <w:spacing w:before="101"/>
            <w:ind w:left="962" w:hanging="963"/>
            <w:jc w:val="right"/>
          </w:pPr>
          <w:hyperlink w:anchor="_bookmark27" w:history="1">
            <w:r>
              <w:t>Workflows</w:t>
            </w:r>
            <w:r>
              <w:tab/>
              <w:t>21</w:t>
            </w:r>
          </w:hyperlink>
        </w:p>
        <w:p w:rsidR="00AC683C" w:rsidRDefault="00FD2153">
          <w:pPr>
            <w:pStyle w:val="IDC1"/>
            <w:numPr>
              <w:ilvl w:val="0"/>
              <w:numId w:val="8"/>
            </w:numPr>
            <w:tabs>
              <w:tab w:val="left" w:pos="332"/>
              <w:tab w:val="right" w:leader="dot" w:pos="9223"/>
            </w:tabs>
            <w:ind w:left="964" w:hanging="965"/>
            <w:jc w:val="right"/>
          </w:pPr>
          <w:hyperlink w:anchor="_bookmark28" w:history="1">
            <w:r>
              <w:t>Data discovery</w:t>
            </w:r>
            <w:r>
              <w:rPr>
                <w:spacing w:val="-2"/>
              </w:rPr>
              <w:t xml:space="preserve"> </w:t>
            </w:r>
            <w:r>
              <w:t>and</w:t>
            </w:r>
            <w:r>
              <w:rPr>
                <w:spacing w:val="1"/>
              </w:rPr>
              <w:t xml:space="preserve"> </w:t>
            </w:r>
            <w:r>
              <w:t>identification</w:t>
            </w:r>
            <w:r>
              <w:tab/>
              <w:t>22</w:t>
            </w:r>
          </w:hyperlink>
        </w:p>
        <w:p w:rsidR="00AC683C" w:rsidRDefault="00FD2153">
          <w:pPr>
            <w:pStyle w:val="IDC1"/>
            <w:numPr>
              <w:ilvl w:val="0"/>
              <w:numId w:val="8"/>
            </w:numPr>
            <w:tabs>
              <w:tab w:val="left" w:pos="332"/>
              <w:tab w:val="right" w:leader="dot" w:pos="9222"/>
            </w:tabs>
            <w:spacing w:before="102"/>
            <w:ind w:left="964" w:hanging="965"/>
            <w:jc w:val="right"/>
          </w:pPr>
          <w:hyperlink w:anchor="_bookmark29" w:history="1">
            <w:r>
              <w:t>Data</w:t>
            </w:r>
            <w:r>
              <w:rPr>
                <w:spacing w:val="-2"/>
              </w:rPr>
              <w:t xml:space="preserve"> </w:t>
            </w:r>
            <w:r>
              <w:t>reuse</w:t>
            </w:r>
            <w:r>
              <w:tab/>
              <w:t>23</w:t>
            </w:r>
          </w:hyperlink>
        </w:p>
        <w:p w:rsidR="00AC683C" w:rsidRDefault="00FD2153">
          <w:pPr>
            <w:pStyle w:val="IDC1"/>
            <w:tabs>
              <w:tab w:val="right" w:leader="dot" w:pos="9424"/>
            </w:tabs>
            <w:spacing w:before="98"/>
          </w:pPr>
          <w:hyperlink w:anchor="_bookmark30" w:history="1">
            <w:r>
              <w:t>Technology</w:t>
            </w:r>
            <w:r>
              <w:tab/>
              <w:t>24</w:t>
            </w:r>
          </w:hyperlink>
        </w:p>
        <w:p w:rsidR="00AC683C" w:rsidRDefault="00FD2153">
          <w:pPr>
            <w:pStyle w:val="IDC1"/>
            <w:numPr>
              <w:ilvl w:val="0"/>
              <w:numId w:val="8"/>
            </w:numPr>
            <w:tabs>
              <w:tab w:val="left" w:pos="332"/>
              <w:tab w:val="right" w:leader="dot" w:pos="9223"/>
            </w:tabs>
            <w:spacing w:before="102"/>
            <w:ind w:left="964" w:hanging="965"/>
            <w:jc w:val="right"/>
          </w:pPr>
          <w:hyperlink w:anchor="_bookmark31" w:history="1">
            <w:r>
              <w:t>Technical</w:t>
            </w:r>
            <w:r>
              <w:rPr>
                <w:spacing w:val="-3"/>
              </w:rPr>
              <w:t xml:space="preserve"> </w:t>
            </w:r>
            <w:r>
              <w:t>infrastructure</w:t>
            </w:r>
            <w:r>
              <w:tab/>
              <w:t>24</w:t>
            </w:r>
          </w:hyperlink>
        </w:p>
        <w:p w:rsidR="00AC683C" w:rsidRDefault="00FD2153">
          <w:pPr>
            <w:pStyle w:val="IDC1"/>
            <w:numPr>
              <w:ilvl w:val="0"/>
              <w:numId w:val="8"/>
            </w:numPr>
            <w:tabs>
              <w:tab w:val="left" w:pos="334"/>
              <w:tab w:val="right" w:leader="dot" w:pos="9222"/>
            </w:tabs>
            <w:spacing w:before="98"/>
            <w:ind w:left="967" w:hanging="968"/>
            <w:jc w:val="right"/>
          </w:pPr>
          <w:hyperlink w:anchor="_bookmark32" w:history="1">
            <w:r>
              <w:t>Security</w:t>
            </w:r>
            <w:r>
              <w:tab/>
            </w:r>
            <w:r>
              <w:t>25</w:t>
            </w:r>
          </w:hyperlink>
        </w:p>
        <w:p w:rsidR="00AC683C" w:rsidRDefault="00FD2153">
          <w:pPr>
            <w:pStyle w:val="IDC1"/>
            <w:tabs>
              <w:tab w:val="right" w:leader="dot" w:pos="9623"/>
            </w:tabs>
            <w:spacing w:before="102"/>
          </w:pPr>
          <w:hyperlink w:anchor="_bookmark34" w:history="1">
            <w:r>
              <w:t>Applicant</w:t>
            </w:r>
            <w:r>
              <w:rPr>
                <w:spacing w:val="-2"/>
              </w:rPr>
              <w:t xml:space="preserve"> </w:t>
            </w:r>
            <w:r>
              <w:t>Feedback</w:t>
            </w:r>
            <w:r>
              <w:tab/>
              <w:t>26</w:t>
            </w:r>
          </w:hyperlink>
        </w:p>
        <w:p w:rsidR="00AC683C" w:rsidRDefault="00FD2153">
          <w:pPr>
            <w:pStyle w:val="IDC1"/>
            <w:tabs>
              <w:tab w:val="right" w:leader="dot" w:pos="9424"/>
            </w:tabs>
            <w:spacing w:before="98"/>
          </w:pPr>
          <w:hyperlink w:anchor="_bookmark35" w:history="1">
            <w:r>
              <w:t>Comments/feedback</w:t>
            </w:r>
            <w:r>
              <w:tab/>
              <w:t>26</w:t>
            </w:r>
          </w:hyperlink>
        </w:p>
      </w:sdtContent>
    </w:sdt>
    <w:p w:rsidR="00AC683C" w:rsidRDefault="00AC683C">
      <w:pPr>
        <w:sectPr w:rsidR="00AC683C">
          <w:headerReference w:type="default" r:id="rId8"/>
          <w:footerReference w:type="default" r:id="rId9"/>
          <w:pgSz w:w="11910" w:h="16840"/>
          <w:pgMar w:top="1020" w:right="900" w:bottom="1060" w:left="900" w:header="724" w:footer="860" w:gutter="0"/>
          <w:pgNumType w:start="2"/>
          <w:cols w:space="720"/>
        </w:sectPr>
      </w:pPr>
    </w:p>
    <w:p w:rsidR="00AC683C" w:rsidRDefault="000A2A0E">
      <w:pPr>
        <w:pStyle w:val="Ttol1"/>
        <w:spacing w:before="90"/>
      </w:pPr>
      <w:r>
        <w:rPr>
          <w:noProof/>
          <w:lang w:val="es-ES" w:eastAsia="es-ES" w:bidi="ar-SA"/>
        </w:rPr>
        <w:lastRenderedPageBreak/>
        <mc:AlternateContent>
          <mc:Choice Requires="wps">
            <w:drawing>
              <wp:anchor distT="0" distB="0" distL="0" distR="0" simplePos="0" relativeHeight="251661312" behindDoc="1" locked="0" layoutInCell="1" allowOverlap="1">
                <wp:simplePos x="0" y="0"/>
                <wp:positionH relativeFrom="page">
                  <wp:posOffset>647700</wp:posOffset>
                </wp:positionH>
                <wp:positionV relativeFrom="paragraph">
                  <wp:posOffset>359410</wp:posOffset>
                </wp:positionV>
                <wp:extent cx="6262370" cy="1706880"/>
                <wp:effectExtent l="0" t="0" r="0" b="0"/>
                <wp:wrapTopAndBottom/>
                <wp:docPr id="51"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2370" cy="1706880"/>
                        </a:xfrm>
                        <a:prstGeom prst="rect">
                          <a:avLst/>
                        </a:prstGeom>
                        <a:noFill/>
                        <a:ln w="6096">
                          <a:solidFill>
                            <a:srgbClr val="2E75B5"/>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AC683C" w:rsidRDefault="00FD2153">
                            <w:pPr>
                              <w:spacing w:before="14"/>
                              <w:ind w:left="107" w:right="284"/>
                            </w:pPr>
                            <w:r>
                              <w:rPr>
                                <w:color w:val="2E75B5"/>
                              </w:rPr>
                              <w:t xml:space="preserve">This document contains the full text of the </w:t>
                            </w:r>
                            <w:r>
                              <w:rPr>
                                <w:b/>
                                <w:color w:val="2E75B5"/>
                              </w:rPr>
                              <w:t xml:space="preserve">CoreTrustSeal Trustworthy Data Repositories Requirements </w:t>
                            </w:r>
                            <w:r>
                              <w:rPr>
                                <w:color w:val="2E75B5"/>
                              </w:rPr>
                              <w:t xml:space="preserve">for 2020–2022 with </w:t>
                            </w:r>
                            <w:r>
                              <w:rPr>
                                <w:color w:val="2E75B5"/>
                              </w:rPr>
                              <w:t>introductory paragraphs on Background &amp; General Guidance.</w:t>
                            </w:r>
                          </w:p>
                          <w:p w:rsidR="00AC683C" w:rsidRDefault="00FD2153">
                            <w:pPr>
                              <w:pStyle w:val="Textindependent"/>
                              <w:spacing w:before="185"/>
                              <w:ind w:left="107" w:right="137"/>
                            </w:pPr>
                            <w:r>
                              <w:rPr>
                                <w:color w:val="2E75B5"/>
                              </w:rPr>
                              <w:t xml:space="preserve">In addition to the CoreTrustSeal Requirements, which remain stable for the period 2020–2022, this document provides the </w:t>
                            </w:r>
                            <w:r>
                              <w:rPr>
                                <w:b/>
                                <w:color w:val="2E75B5"/>
                              </w:rPr>
                              <w:t xml:space="preserve">Extended Guidance </w:t>
                            </w:r>
                            <w:r>
                              <w:rPr>
                                <w:color w:val="2E75B5"/>
                              </w:rPr>
                              <w:t>for CoreTrustSeal reviewers and applicants. The Extended Gui</w:t>
                            </w:r>
                            <w:r>
                              <w:rPr>
                                <w:color w:val="2E75B5"/>
                              </w:rPr>
                              <w:t>dance text may be updated during the period 2020–2022 subject to approval by the CoreTrustSeal Board. The document also contains a reference to the Glossary of Terms.</w:t>
                            </w:r>
                          </w:p>
                          <w:p w:rsidR="00AC683C" w:rsidRDefault="00FD2153">
                            <w:pPr>
                              <w:pStyle w:val="Textindependent"/>
                              <w:spacing w:before="179"/>
                              <w:ind w:left="107" w:right="481"/>
                            </w:pPr>
                            <w:r>
                              <w:rPr>
                                <w:color w:val="2E75B5"/>
                              </w:rPr>
                              <w:t>The document is intended to maximize consistency of reviews across the wide range of Core</w:t>
                            </w:r>
                            <w:r>
                              <w:rPr>
                                <w:color w:val="2E75B5"/>
                              </w:rPr>
                              <w:t>TrustSeal applicants. The primary audience is reviewers, but it is also useful for applicants when preparing an application self-assessment.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0" o:spid="_x0000_s1026" type="#_x0000_t202" style="position:absolute;left:0;text-align:left;margin-left:51pt;margin-top:28.3pt;width:493.1pt;height:134.4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" filled="f" strokecolor="#2e75b5" strokeweight=".48pt">
                <v:textbox inset="0,0,0,0">
                  <w:txbxContent>
                    <w:p w:rsidR="00AC683C" w:rsidRDefault="00FD2153">
                      <w:pPr>
                        <w:spacing w:before="14"/>
                        <w:ind w:left="107" w:right="284"/>
                      </w:pPr>
                      <w:r>
                        <w:rPr>
                          <w:color w:val="2E75B5"/>
                        </w:rPr>
                        <w:t xml:space="preserve">This document contains the full text of the </w:t>
                      </w:r>
                      <w:r>
                        <w:rPr>
                          <w:b/>
                          <w:color w:val="2E75B5"/>
                        </w:rPr>
                        <w:t xml:space="preserve">CoreTrustSeal Trustworthy Data Repositories Requirements </w:t>
                      </w:r>
                      <w:r>
                        <w:rPr>
                          <w:color w:val="2E75B5"/>
                        </w:rPr>
                        <w:t xml:space="preserve">for 2020–2022 with </w:t>
                      </w:r>
                      <w:r>
                        <w:rPr>
                          <w:color w:val="2E75B5"/>
                        </w:rPr>
                        <w:t>introductory paragraphs on Background &amp; General Guidance.</w:t>
                      </w:r>
                    </w:p>
                    <w:p w:rsidR="00AC683C" w:rsidRDefault="00FD2153">
                      <w:pPr>
                        <w:pStyle w:val="Textindependent"/>
                        <w:spacing w:before="185"/>
                        <w:ind w:left="107" w:right="137"/>
                      </w:pPr>
                      <w:r>
                        <w:rPr>
                          <w:color w:val="2E75B5"/>
                        </w:rPr>
                        <w:t xml:space="preserve">In addition to the CoreTrustSeal Requirements, which remain stable for the period 2020–2022, this document provides the </w:t>
                      </w:r>
                      <w:r>
                        <w:rPr>
                          <w:b/>
                          <w:color w:val="2E75B5"/>
                        </w:rPr>
                        <w:t xml:space="preserve">Extended Guidance </w:t>
                      </w:r>
                      <w:r>
                        <w:rPr>
                          <w:color w:val="2E75B5"/>
                        </w:rPr>
                        <w:t>for CoreTrustSeal reviewers and applicants. The Extended Gui</w:t>
                      </w:r>
                      <w:r>
                        <w:rPr>
                          <w:color w:val="2E75B5"/>
                        </w:rPr>
                        <w:t>dance text may be updated during the period 2020–2022 subject to approval by the CoreTrustSeal Board. The document also contains a reference to the Glossary of Terms.</w:t>
                      </w:r>
                    </w:p>
                    <w:p w:rsidR="00AC683C" w:rsidRDefault="00FD2153">
                      <w:pPr>
                        <w:pStyle w:val="Textindependent"/>
                        <w:spacing w:before="179"/>
                        <w:ind w:left="107" w:right="481"/>
                      </w:pPr>
                      <w:r>
                        <w:rPr>
                          <w:color w:val="2E75B5"/>
                        </w:rPr>
                        <w:t>The document is intended to maximize consistency of reviews across the wide range of Core</w:t>
                      </w:r>
                      <w:r>
                        <w:rPr>
                          <w:color w:val="2E75B5"/>
                        </w:rPr>
                        <w:t>TrustSeal applicants. The primary audience is reviewers, but it is also useful for applicants when preparing an application self-assessment.</w:t>
                      </w:r>
                    </w:p>
                  </w:txbxContent>
                </v:textbox>
                <w10:wrap type="topAndBottom" anchorx="page"/>
              </v:shape>
            </w:pict>
          </mc:Fallback>
        </mc:AlternateContent>
      </w:r>
      <w:bookmarkStart w:id="0" w:name="Introduction"/>
      <w:bookmarkStart w:id="1" w:name="_bookmark0"/>
      <w:bookmarkEnd w:id="0"/>
      <w:bookmarkEnd w:id="1"/>
      <w:r w:rsidR="00FD2153">
        <w:rPr>
          <w:color w:val="ED7D31"/>
        </w:rPr>
        <w:t>Introduction</w:t>
      </w:r>
    </w:p>
    <w:p w:rsidR="00AC683C" w:rsidRDefault="00FD2153">
      <w:pPr>
        <w:pStyle w:val="Ttol1"/>
        <w:spacing w:before="205"/>
      </w:pPr>
      <w:bookmarkStart w:id="2" w:name="Background_&amp;_General_Guidance"/>
      <w:bookmarkStart w:id="3" w:name="_bookmark1"/>
      <w:bookmarkEnd w:id="2"/>
      <w:bookmarkEnd w:id="3"/>
      <w:r>
        <w:rPr>
          <w:color w:val="ED7D31"/>
        </w:rPr>
        <w:t>Background &amp; General Guidance</w:t>
      </w:r>
    </w:p>
    <w:p w:rsidR="00AC683C" w:rsidRDefault="00FD2153">
      <w:pPr>
        <w:spacing w:before="124"/>
        <w:ind w:left="232" w:right="577"/>
      </w:pPr>
      <w:r>
        <w:t xml:space="preserve">The </w:t>
      </w:r>
      <w:r>
        <w:rPr>
          <w:i/>
        </w:rPr>
        <w:t xml:space="preserve">CoreTrustSeal Trustworthy Data Repositories Requirements </w:t>
      </w:r>
      <w:r>
        <w:t>describe the characteristics of trustworthy repositories. All Requirements are mandatory and evaluated as standalone items.</w:t>
      </w:r>
    </w:p>
    <w:p w:rsidR="00AC683C" w:rsidRDefault="00FD2153">
      <w:pPr>
        <w:pStyle w:val="Textindependent"/>
        <w:ind w:right="319"/>
      </w:pPr>
      <w:r>
        <w:t>Although some overlap is unavoidable, duplication of evidence sought for each Requirement has been kept to a minimum. The options in checklists (e.g., repository type and curation level) are not considered to be comprehensive and may be refined in the futu</w:t>
      </w:r>
      <w:r>
        <w:t>re. Applicants are encouraged to add ‘other’ options.</w:t>
      </w:r>
    </w:p>
    <w:p w:rsidR="00AC683C" w:rsidRDefault="00FD2153">
      <w:pPr>
        <w:pStyle w:val="Textindependent"/>
        <w:spacing w:before="179"/>
        <w:ind w:right="355"/>
      </w:pPr>
      <w:r>
        <w:t>Each Requirement is accompanied by Guidance text describing the information and evidence that applicants must provide to enable an objective review.</w:t>
      </w:r>
    </w:p>
    <w:p w:rsidR="00AC683C" w:rsidRDefault="00FD2153">
      <w:pPr>
        <w:pStyle w:val="Textindependent"/>
        <w:spacing w:before="3" w:line="430" w:lineRule="atLeast"/>
        <w:ind w:right="2349"/>
      </w:pPr>
      <w:r>
        <w:t>The applicant must indicate a compliance level for ea</w:t>
      </w:r>
      <w:r>
        <w:t>ch of the Requirements: 0 – Not applicable</w:t>
      </w:r>
    </w:p>
    <w:p w:rsidR="00AC683C" w:rsidRDefault="00FD2153">
      <w:pPr>
        <w:pStyle w:val="Textindependent"/>
        <w:spacing w:before="3"/>
        <w:ind w:right="5406"/>
      </w:pPr>
      <w:r>
        <w:t>1 – The repository has not considered this yet 2 – The repository has a theoretical concept</w:t>
      </w:r>
    </w:p>
    <w:p w:rsidR="00AC683C" w:rsidRDefault="00FD2153">
      <w:pPr>
        <w:pStyle w:val="Pargrafdellista"/>
        <w:numPr>
          <w:ilvl w:val="0"/>
          <w:numId w:val="7"/>
        </w:numPr>
        <w:tabs>
          <w:tab w:val="left" w:pos="418"/>
        </w:tabs>
        <w:spacing w:before="1" w:line="252" w:lineRule="exact"/>
        <w:ind w:hanging="186"/>
      </w:pPr>
      <w:r>
        <w:t>– The repository is in the implementation</w:t>
      </w:r>
      <w:r>
        <w:rPr>
          <w:spacing w:val="-9"/>
        </w:rPr>
        <w:t xml:space="preserve"> </w:t>
      </w:r>
      <w:r>
        <w:t>phase</w:t>
      </w:r>
    </w:p>
    <w:p w:rsidR="00AC683C" w:rsidRDefault="00FD2153">
      <w:pPr>
        <w:pStyle w:val="Pargrafdellista"/>
        <w:numPr>
          <w:ilvl w:val="0"/>
          <w:numId w:val="7"/>
        </w:numPr>
        <w:tabs>
          <w:tab w:val="left" w:pos="418"/>
        </w:tabs>
        <w:spacing w:line="252" w:lineRule="exact"/>
        <w:ind w:hanging="186"/>
      </w:pPr>
      <w:r>
        <w:t>– The guideline has been fully implemented in the</w:t>
      </w:r>
      <w:r>
        <w:rPr>
          <w:spacing w:val="-14"/>
        </w:rPr>
        <w:t xml:space="preserve"> </w:t>
      </w:r>
      <w:r>
        <w:t>repository</w:t>
      </w:r>
    </w:p>
    <w:p w:rsidR="00AC683C" w:rsidRDefault="00FD2153">
      <w:pPr>
        <w:pStyle w:val="Textindependent"/>
        <w:spacing w:before="179"/>
        <w:ind w:right="356"/>
      </w:pPr>
      <w:r>
        <w:t>Compliance l</w:t>
      </w:r>
      <w:r>
        <w:t>evels are an indicator of the applicant's self-assessed progress, but reviewers judge compliance against response statements and supporting evidence. If an applicant believes a Requirement is not applicable (0), then this must be justified in detail. Compl</w:t>
      </w:r>
      <w:r>
        <w:t>iance Levels of 1 or 2 are not sufficient for a successful application. Certification may be granted if some Requirements are in the implementation phase (3).</w:t>
      </w:r>
    </w:p>
    <w:p w:rsidR="00AC683C" w:rsidRDefault="00FD2153">
      <w:pPr>
        <w:pStyle w:val="Textindependent"/>
        <w:spacing w:before="180"/>
        <w:ind w:right="248"/>
      </w:pPr>
      <w:r>
        <w:t>Response statements provided by applicants should include links to supporting evidence online. As</w:t>
      </w:r>
      <w:r>
        <w:t xml:space="preserve"> the core certification process does not include a site visit by an auditor, such publically available evidence provides transparent assurance of good practice. URL links should be verified immediately before submitting</w:t>
      </w:r>
      <w:r>
        <w:rPr>
          <w:spacing w:val="-3"/>
        </w:rPr>
        <w:t xml:space="preserve"> </w:t>
      </w:r>
      <w:r>
        <w:t>applications.</w:t>
      </w:r>
    </w:p>
    <w:p w:rsidR="00AC683C" w:rsidRDefault="00FD2153">
      <w:pPr>
        <w:pStyle w:val="Textindependent"/>
        <w:spacing w:before="180"/>
        <w:ind w:right="221"/>
      </w:pPr>
      <w:r>
        <w:t xml:space="preserve">All responses must be </w:t>
      </w:r>
      <w:r>
        <w:t>in English. Although attempts will be made to match reviewers to applicants in terms of language and discipline, this is not always possible. Full translations of evidence are not required, but if non-English evidence is provided, then an English summary m</w:t>
      </w:r>
      <w:r>
        <w:t>ust be included in the response statement.</w:t>
      </w:r>
    </w:p>
    <w:p w:rsidR="00AC683C" w:rsidRDefault="00FD2153">
      <w:pPr>
        <w:pStyle w:val="Textindependent"/>
        <w:spacing w:before="181"/>
        <w:ind w:right="633"/>
        <w:jc w:val="both"/>
      </w:pPr>
      <w:r>
        <w:t>No sensitive information disclosure is required to acquire the CoreTrustSeal, but provisions are made within the certification process for repositories that want to share evidence materials also containing confide</w:t>
      </w:r>
      <w:r>
        <w:t>ntial information.</w:t>
      </w:r>
    </w:p>
    <w:p w:rsidR="00AC683C" w:rsidRDefault="00FD2153">
      <w:pPr>
        <w:pStyle w:val="Textindependent"/>
        <w:spacing w:before="179"/>
        <w:ind w:right="344"/>
      </w:pPr>
      <w:r>
        <w:t>The CoreTrustSeal is valid for three years from the date it is awarded. Though repository systems and capabilities evolve continuously according to technology and user needs, they might not undergo major changes in this timeframe. An org</w:t>
      </w:r>
      <w:r>
        <w:t>anization with well-managed business processes and records should be able to reapply with minimal revisions after three years unless:</w:t>
      </w:r>
    </w:p>
    <w:p w:rsidR="00AC683C" w:rsidRDefault="00FD2153">
      <w:pPr>
        <w:pStyle w:val="Pargrafdellista"/>
        <w:numPr>
          <w:ilvl w:val="1"/>
          <w:numId w:val="7"/>
        </w:numPr>
        <w:tabs>
          <w:tab w:val="left" w:pos="952"/>
          <w:tab w:val="left" w:pos="953"/>
        </w:tabs>
        <w:spacing w:before="181"/>
      </w:pPr>
      <w:r>
        <w:t>The organization, its data collection, or Designated Community has changed</w:t>
      </w:r>
      <w:r>
        <w:rPr>
          <w:spacing w:val="-25"/>
        </w:rPr>
        <w:t xml:space="preserve"> </w:t>
      </w:r>
      <w:r>
        <w:t>significantly.</w:t>
      </w:r>
    </w:p>
    <w:p w:rsidR="00AC683C" w:rsidRDefault="00AC683C">
      <w:pPr>
        <w:sectPr w:rsidR="00AC683C">
          <w:pgSz w:w="11910" w:h="16840"/>
          <w:pgMar w:top="1020" w:right="900" w:bottom="1060" w:left="900" w:header="724" w:footer="860" w:gutter="0"/>
          <w:cols w:space="720"/>
        </w:sectPr>
      </w:pPr>
    </w:p>
    <w:p w:rsidR="00AC683C" w:rsidRDefault="00FD2153">
      <w:pPr>
        <w:pStyle w:val="Pargrafdellista"/>
        <w:numPr>
          <w:ilvl w:val="1"/>
          <w:numId w:val="7"/>
        </w:numPr>
        <w:tabs>
          <w:tab w:val="left" w:pos="952"/>
          <w:tab w:val="left" w:pos="953"/>
        </w:tabs>
        <w:spacing w:before="93"/>
      </w:pPr>
      <w:r>
        <w:lastRenderedPageBreak/>
        <w:t>The CoreTrustSeal Requirements have been updated in ways that impact the</w:t>
      </w:r>
      <w:r>
        <w:rPr>
          <w:spacing w:val="-24"/>
        </w:rPr>
        <w:t xml:space="preserve"> </w:t>
      </w:r>
      <w:r>
        <w:t>applicant.</w:t>
      </w:r>
    </w:p>
    <w:p w:rsidR="00AC683C" w:rsidRDefault="00FD2153">
      <w:pPr>
        <w:pStyle w:val="Textindependent"/>
        <w:spacing w:before="181"/>
        <w:ind w:right="405"/>
      </w:pPr>
      <w:r>
        <w:t>The CoreTrustSeal Requirements are subject to review and revision every three years. This does not affect a successful applicant until they seek renewal.</w:t>
      </w:r>
    </w:p>
    <w:p w:rsidR="00AC683C" w:rsidRDefault="00AC683C">
      <w:pPr>
        <w:pStyle w:val="Textindependent"/>
        <w:spacing w:before="7"/>
        <w:ind w:left="0"/>
        <w:rPr>
          <w:sz w:val="20"/>
        </w:rPr>
      </w:pPr>
    </w:p>
    <w:p w:rsidR="00AC683C" w:rsidRDefault="00FD2153">
      <w:pPr>
        <w:pStyle w:val="Ttol1"/>
      </w:pPr>
      <w:bookmarkStart w:id="4" w:name="Glossary_of_Terms"/>
      <w:bookmarkStart w:id="5" w:name="_bookmark2"/>
      <w:bookmarkEnd w:id="4"/>
      <w:bookmarkEnd w:id="5"/>
      <w:r>
        <w:rPr>
          <w:color w:val="ED7D31"/>
        </w:rPr>
        <w:t>Glossary of Terms</w:t>
      </w:r>
    </w:p>
    <w:p w:rsidR="00AC683C" w:rsidRDefault="00FD2153">
      <w:pPr>
        <w:pStyle w:val="Textindependent"/>
        <w:spacing w:before="122"/>
        <w:ind w:right="2081"/>
      </w:pPr>
      <w:r>
        <w:t>Please refer to the Core Trustworthy Data Repositories Requirements Glossary:</w:t>
      </w:r>
      <w:bookmarkStart w:id="6" w:name="General_Extended_Guidance"/>
      <w:bookmarkStart w:id="7" w:name="_bookmark3"/>
      <w:bookmarkEnd w:id="6"/>
      <w:bookmarkEnd w:id="7"/>
      <w:r>
        <w:t xml:space="preserve"> </w:t>
      </w:r>
      <w:hyperlink r:id="rId10">
        <w:r>
          <w:rPr>
            <w:color w:val="0000FF"/>
            <w:u w:val="single" w:color="0000FF"/>
          </w:rPr>
          <w:t>https://doi.org/10.5281/zenodo.3632563</w:t>
        </w:r>
      </w:hyperlink>
      <w:r>
        <w:t>.</w:t>
      </w:r>
    </w:p>
    <w:p w:rsidR="00AC683C" w:rsidRDefault="00AC683C">
      <w:pPr>
        <w:pStyle w:val="Textindependent"/>
        <w:spacing w:before="7"/>
        <w:ind w:left="0"/>
        <w:rPr>
          <w:sz w:val="20"/>
        </w:rPr>
      </w:pPr>
    </w:p>
    <w:p w:rsidR="00AC683C" w:rsidRDefault="00FD2153">
      <w:pPr>
        <w:pStyle w:val="Ttol1"/>
      </w:pPr>
      <w:r>
        <w:rPr>
          <w:color w:val="ED7D31"/>
        </w:rPr>
        <w:t>General Extended Guidance</w:t>
      </w:r>
    </w:p>
    <w:p w:rsidR="00AC683C" w:rsidRDefault="000A2A0E">
      <w:pPr>
        <w:spacing w:before="183"/>
        <w:ind w:left="232"/>
        <w:rPr>
          <w:b/>
          <w:sz w:val="28"/>
        </w:rPr>
      </w:pPr>
      <w:r>
        <w:rPr>
          <w:noProof/>
          <w:lang w:val="es-ES" w:eastAsia="es-ES" w:bidi="ar-SA"/>
        </w:rPr>
        <mc:AlternateContent>
          <mc:Choice Requires="wps">
            <w:drawing>
              <wp:anchor distT="0" distB="0" distL="0" distR="0" simplePos="0" relativeHeight="251662336" behindDoc="1" locked="0" layoutInCell="1" allowOverlap="1">
                <wp:simplePos x="0" y="0"/>
                <wp:positionH relativeFrom="page">
                  <wp:posOffset>647700</wp:posOffset>
                </wp:positionH>
                <wp:positionV relativeFrom="paragraph">
                  <wp:posOffset>401955</wp:posOffset>
                </wp:positionV>
                <wp:extent cx="6262370" cy="3749040"/>
                <wp:effectExtent l="0" t="0" r="0" b="0"/>
                <wp:wrapTopAndBottom/>
                <wp:docPr id="50"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2370" cy="3749040"/>
                        </a:xfrm>
                        <a:prstGeom prst="rect">
                          <a:avLst/>
                        </a:prstGeom>
                        <a:noFill/>
                        <a:ln w="6096">
                          <a:solidFill>
                            <a:srgbClr val="2E75B5"/>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AC683C" w:rsidRDefault="00FD2153">
                            <w:pPr>
                              <w:pStyle w:val="Textindependent"/>
                              <w:spacing w:before="17"/>
                              <w:ind w:left="107" w:right="248"/>
                            </w:pPr>
                            <w:r>
                              <w:rPr>
                                <w:color w:val="2E75B5"/>
                              </w:rPr>
                              <w:t>Revising evidence information every three years f</w:t>
                            </w:r>
                            <w:r>
                              <w:rPr>
                                <w:color w:val="2E75B5"/>
                              </w:rPr>
                              <w:t>or only certification purposes is not efficient or effective. The ongoing management of business information necessary to run a repository’s services should be sufficient to apply for and maintain certification. Specifically, repositories that document the</w:t>
                            </w:r>
                            <w:r>
                              <w:rPr>
                                <w:color w:val="2E75B5"/>
                              </w:rPr>
                              <w:t>ir policies and procedures well enough to ensure quality remains consistent, the risk of staff departure is mitigated, and so on, should need to only prepare application responses and manage public versions of their evidence.</w:t>
                            </w:r>
                          </w:p>
                          <w:p w:rsidR="00AC683C" w:rsidRDefault="00FD2153">
                            <w:pPr>
                              <w:pStyle w:val="Textindependent"/>
                              <w:spacing w:before="181"/>
                              <w:ind w:left="107" w:right="578"/>
                            </w:pPr>
                            <w:r>
                              <w:rPr>
                                <w:color w:val="2E75B5"/>
                              </w:rPr>
                              <w:t>Reviewers may propose a differ</w:t>
                            </w:r>
                            <w:r>
                              <w:rPr>
                                <w:color w:val="2E75B5"/>
                              </w:rPr>
                              <w:t xml:space="preserve">ent Compliance Level to that selected by the applicant. If the reviewers change the selected level to a </w:t>
                            </w:r>
                            <w:r>
                              <w:rPr>
                                <w:i/>
                                <w:color w:val="2E75B5"/>
                              </w:rPr>
                              <w:t xml:space="preserve">lower value, </w:t>
                            </w:r>
                            <w:r>
                              <w:rPr>
                                <w:color w:val="2E75B5"/>
                              </w:rPr>
                              <w:t>the reason will be explained. There is an expectation of progress for a Requirement with a Compliance Level of less than 4 when the certifi</w:t>
                            </w:r>
                            <w:r>
                              <w:rPr>
                                <w:color w:val="2E75B5"/>
                              </w:rPr>
                              <w:t>cation is renewed.</w:t>
                            </w:r>
                          </w:p>
                          <w:p w:rsidR="00AC683C" w:rsidRDefault="00FD2153">
                            <w:pPr>
                              <w:pStyle w:val="Textindependent"/>
                              <w:spacing w:before="181"/>
                              <w:ind w:left="107" w:right="333"/>
                            </w:pPr>
                            <w:r>
                              <w:rPr>
                                <w:color w:val="2E75B5"/>
                              </w:rPr>
                              <w:t>It is not possible to cover every possible repository scenario in the Guidance or Extended Guidance. Likewise, not all bullet points in all Requirements are mandatory. Applicant responses should refer to the issues raised in the Guidance</w:t>
                            </w:r>
                            <w:r>
                              <w:rPr>
                                <w:color w:val="2E75B5"/>
                              </w:rPr>
                              <w:t xml:space="preserve"> text and provide responses based on their local context. Final evaluation of a Requirement depends on the completeness and quality of the response. Reviewers are looking for clear, open statements of evidence specific to the applicant.</w:t>
                            </w:r>
                          </w:p>
                          <w:p w:rsidR="00AC683C" w:rsidRDefault="00FD2153">
                            <w:pPr>
                              <w:pStyle w:val="Textindependent"/>
                              <w:spacing w:before="180"/>
                              <w:ind w:left="107" w:right="279"/>
                            </w:pPr>
                            <w:r>
                              <w:rPr>
                                <w:color w:val="2E75B5"/>
                              </w:rPr>
                              <w:t>Concepts and termin</w:t>
                            </w:r>
                            <w:r>
                              <w:rPr>
                                <w:color w:val="2E75B5"/>
                              </w:rPr>
                              <w:t>ology used in the Requirements are informed by the OAIS Reference Model. The use of OAIS terminology can help to ensure understandability and clarity of the application, and applicants are therefore strongly encouraged to familiarize themselves with OAIS b</w:t>
                            </w:r>
                            <w:r>
                              <w:rPr>
                                <w:color w:val="2E75B5"/>
                              </w:rPr>
                              <w:t>efore preparing Requirement responses. The 2014 DPC Technology Watch Report ‘The Open Archival Information System (OAIS) Reference Model: Introductory Guide (2nd Edition)’ by Brian Lavoie (</w:t>
                            </w:r>
                            <w:hyperlink r:id="rId11">
                              <w:r>
                                <w:rPr>
                                  <w:color w:val="1155CC"/>
                                  <w:u w:val="single" w:color="1155CC"/>
                                </w:rPr>
                                <w:t>https://doi.org/10.7207/twr14-02</w:t>
                              </w:r>
                            </w:hyperlink>
                            <w:r>
                              <w:rPr>
                                <w:color w:val="2E75B5"/>
                              </w:rPr>
                              <w:t>) provides a helpful introduction to the OAIS Reference Model.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9" o:spid="_x0000_s1027" type="#_x0000_t202" style="position:absolute;left:0;text-align:left;margin-left:51pt;margin-top:31.65pt;width:493.1pt;height:295.2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" filled="f" strokecolor="#2e75b5" strokeweight=".48pt">
                <v:textbox inset="0,0,0,0">
                  <w:txbxContent>
                    <w:p w:rsidR="00AC683C" w:rsidRDefault="00FD2153">
                      <w:pPr>
                        <w:pStyle w:val="Textindependent"/>
                        <w:spacing w:before="17"/>
                        <w:ind w:left="107" w:right="248"/>
                      </w:pPr>
                      <w:r>
                        <w:rPr>
                          <w:color w:val="2E75B5"/>
                        </w:rPr>
                        <w:t>Revising evidence information every three years f</w:t>
                      </w:r>
                      <w:r>
                        <w:rPr>
                          <w:color w:val="2E75B5"/>
                        </w:rPr>
                        <w:t>or only certification purposes is not efficient or effective. The ongoing management of business information necessary to run a repository’s services should be sufficient to apply for and maintain certification. Specifically, repositories that document the</w:t>
                      </w:r>
                      <w:r>
                        <w:rPr>
                          <w:color w:val="2E75B5"/>
                        </w:rPr>
                        <w:t>ir policies and procedures well enough to ensure quality remains consistent, the risk of staff departure is mitigated, and so on, should need to only prepare application responses and manage public versions of their evidence.</w:t>
                      </w:r>
                    </w:p>
                    <w:p w:rsidR="00AC683C" w:rsidRDefault="00FD2153">
                      <w:pPr>
                        <w:pStyle w:val="Textindependent"/>
                        <w:spacing w:before="181"/>
                        <w:ind w:left="107" w:right="578"/>
                      </w:pPr>
                      <w:r>
                        <w:rPr>
                          <w:color w:val="2E75B5"/>
                        </w:rPr>
                        <w:t>Reviewers may propose a differ</w:t>
                      </w:r>
                      <w:r>
                        <w:rPr>
                          <w:color w:val="2E75B5"/>
                        </w:rPr>
                        <w:t xml:space="preserve">ent Compliance Level to that selected by the applicant. If the reviewers change the selected level to a </w:t>
                      </w:r>
                      <w:r>
                        <w:rPr>
                          <w:i/>
                          <w:color w:val="2E75B5"/>
                        </w:rPr>
                        <w:t xml:space="preserve">lower value, </w:t>
                      </w:r>
                      <w:r>
                        <w:rPr>
                          <w:color w:val="2E75B5"/>
                        </w:rPr>
                        <w:t>the reason will be explained. There is an expectation of progress for a Requirement with a Compliance Level of less than 4 when the certifi</w:t>
                      </w:r>
                      <w:r>
                        <w:rPr>
                          <w:color w:val="2E75B5"/>
                        </w:rPr>
                        <w:t>cation is renewed.</w:t>
                      </w:r>
                    </w:p>
                    <w:p w:rsidR="00AC683C" w:rsidRDefault="00FD2153">
                      <w:pPr>
                        <w:pStyle w:val="Textindependent"/>
                        <w:spacing w:before="181"/>
                        <w:ind w:left="107" w:right="333"/>
                      </w:pPr>
                      <w:r>
                        <w:rPr>
                          <w:color w:val="2E75B5"/>
                        </w:rPr>
                        <w:t>It is not possible to cover every possible repository scenario in the Guidance or Extended Guidance. Likewise, not all bullet points in all Requirements are mandatory. Applicant responses should refer to the issues raised in the Guidance</w:t>
                      </w:r>
                      <w:r>
                        <w:rPr>
                          <w:color w:val="2E75B5"/>
                        </w:rPr>
                        <w:t xml:space="preserve"> text and provide responses based on their local context. Final evaluation of a Requirement depends on the completeness and quality of the response. Reviewers are looking for clear, open statements of evidence specific to the applicant.</w:t>
                      </w:r>
                    </w:p>
                    <w:p w:rsidR="00AC683C" w:rsidRDefault="00FD2153">
                      <w:pPr>
                        <w:pStyle w:val="Textindependent"/>
                        <w:spacing w:before="180"/>
                        <w:ind w:left="107" w:right="279"/>
                      </w:pPr>
                      <w:r>
                        <w:rPr>
                          <w:color w:val="2E75B5"/>
                        </w:rPr>
                        <w:t>Concepts and termin</w:t>
                      </w:r>
                      <w:r>
                        <w:rPr>
                          <w:color w:val="2E75B5"/>
                        </w:rPr>
                        <w:t>ology used in the Requirements are informed by the OAIS Reference Model. The use of OAIS terminology can help to ensure understandability and clarity of the application, and applicants are therefore strongly encouraged to familiarize themselves with OAIS b</w:t>
                      </w:r>
                      <w:r>
                        <w:rPr>
                          <w:color w:val="2E75B5"/>
                        </w:rPr>
                        <w:t>efore preparing Requirement responses. The 2014 DPC Technology Watch Report ‘The Open Archival Information System (OAIS) Reference Model: Introductory Guide (2nd Edition)’ by Brian Lavoie (</w:t>
                      </w:r>
                      <w:hyperlink r:id="rId12">
                        <w:r>
                          <w:rPr>
                            <w:color w:val="1155CC"/>
                            <w:u w:val="single" w:color="1155CC"/>
                          </w:rPr>
                          <w:t>https://doi.org/10.7207/twr14-02</w:t>
                        </w:r>
                      </w:hyperlink>
                      <w:r>
                        <w:rPr>
                          <w:color w:val="2E75B5"/>
                        </w:rPr>
                        <w:t>) provides a helpful introduction to the OAIS Reference Model.</w:t>
                      </w:r>
                    </w:p>
                  </w:txbxContent>
                </v:textbox>
                <w10:wrap type="topAndBottom" anchorx="page"/>
              </v:shape>
            </w:pict>
          </mc:Fallback>
        </mc:AlternateContent>
      </w:r>
      <w:bookmarkStart w:id="8" w:name="Introduction:_General_Points"/>
      <w:bookmarkStart w:id="9" w:name="_bookmark4"/>
      <w:bookmarkEnd w:id="8"/>
      <w:bookmarkEnd w:id="9"/>
      <w:r w:rsidR="00FD2153">
        <w:rPr>
          <w:b/>
          <w:sz w:val="28"/>
        </w:rPr>
        <w:t>Introduction: General Points</w:t>
      </w:r>
    </w:p>
    <w:p w:rsidR="00AC683C" w:rsidRDefault="00FD2153">
      <w:pPr>
        <w:spacing w:before="147" w:after="123"/>
        <w:ind w:left="232"/>
        <w:rPr>
          <w:b/>
          <w:sz w:val="28"/>
        </w:rPr>
      </w:pPr>
      <w:bookmarkStart w:id="10" w:name="Missing_information/evidence"/>
      <w:bookmarkStart w:id="11" w:name="_bookmark5"/>
      <w:bookmarkEnd w:id="10"/>
      <w:bookmarkEnd w:id="11"/>
      <w:r>
        <w:rPr>
          <w:b/>
          <w:sz w:val="28"/>
        </w:rPr>
        <w:t>Missing information/evidence</w:t>
      </w:r>
    </w:p>
    <w:p w:rsidR="00AC683C" w:rsidRDefault="000A2A0E">
      <w:pPr>
        <w:pStyle w:val="Textindependent"/>
        <w:ind w:left="115"/>
        <w:rPr>
          <w:sz w:val="20"/>
        </w:rPr>
      </w:pPr>
      <w:r>
        <w:rPr>
          <w:noProof/>
          <w:sz w:val="20"/>
          <w:lang w:val="es-ES" w:eastAsia="es-ES" w:bidi="ar-SA"/>
        </w:rPr>
        <mc:AlternateContent>
          <mc:Choice Requires="wps">
            <w:drawing>
              <wp:inline distT="0" distB="0" distL="0" distR="0">
                <wp:extent cx="6262370" cy="2026920"/>
                <wp:effectExtent l="6350" t="5715" r="8255" b="5715"/>
                <wp:docPr id="49"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2370" cy="2026920"/>
                        </a:xfrm>
                        <a:prstGeom prst="rect">
                          <a:avLst/>
                        </a:prstGeom>
                        <a:noFill/>
                        <a:ln w="6096">
                          <a:solidFill>
                            <a:srgbClr val="2E75B5"/>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AC683C" w:rsidRDefault="00FD2153">
                            <w:pPr>
                              <w:pStyle w:val="Textindependent"/>
                              <w:spacing w:before="17"/>
                              <w:ind w:left="107" w:right="115"/>
                            </w:pPr>
                            <w:r>
                              <w:rPr>
                                <w:color w:val="2E75B5"/>
                              </w:rPr>
                              <w:t>The CoreTrustSeal certification process depends on responses supported by evidence. The quality of public supporting evidence is expected to increase over time. Applications are harder to assess if information is missing, insufficient, or unclear; if URL l</w:t>
                            </w:r>
                            <w:r>
                              <w:rPr>
                                <w:color w:val="2E75B5"/>
                              </w:rPr>
                              <w:t>inks are broken; or if evidence statements continuously cross-reference one</w:t>
                            </w:r>
                            <w:r>
                              <w:rPr>
                                <w:color w:val="2E75B5"/>
                                <w:spacing w:val="-3"/>
                              </w:rPr>
                              <w:t xml:space="preserve"> </w:t>
                            </w:r>
                            <w:r>
                              <w:rPr>
                                <w:color w:val="2E75B5"/>
                              </w:rPr>
                              <w:t>another.</w:t>
                            </w:r>
                          </w:p>
                          <w:p w:rsidR="00AC683C" w:rsidRDefault="00FD2153">
                            <w:pPr>
                              <w:pStyle w:val="Textindependent"/>
                              <w:spacing w:before="180"/>
                              <w:ind w:left="107" w:right="460"/>
                              <w:jc w:val="both"/>
                            </w:pPr>
                            <w:r>
                              <w:rPr>
                                <w:color w:val="2E75B5"/>
                              </w:rPr>
                              <w:t>Familiarity with, or inside knowledge of the repository by the reviewer must not play a role when judging the available evidence. The final, public evidence statement must</w:t>
                            </w:r>
                            <w:r>
                              <w:rPr>
                                <w:color w:val="2E75B5"/>
                              </w:rPr>
                              <w:t xml:space="preserve"> also be clear for peer repositories to understand.</w:t>
                            </w:r>
                          </w:p>
                          <w:p w:rsidR="00AC683C" w:rsidRDefault="00FD2153">
                            <w:pPr>
                              <w:pStyle w:val="Textindependent"/>
                              <w:spacing w:before="180"/>
                              <w:ind w:left="107" w:right="137"/>
                            </w:pPr>
                            <w:r>
                              <w:rPr>
                                <w:color w:val="2E75B5"/>
                              </w:rPr>
                              <w:t>It is not expected for a reviewer to search through the applicant’s website for evidence. If the information provided is insufficient for the reviewer to reach a decision, the application will be returned</w:t>
                            </w:r>
                            <w:r>
                              <w:rPr>
                                <w:color w:val="2E75B5"/>
                              </w:rPr>
                              <w:t xml:space="preserve"> with an explanation of why the evidence is deficient. No Compliance Level will be given at this stage by the reviewer.</w:t>
                            </w:r>
                          </w:p>
                        </w:txbxContent>
                      </wps:txbx>
                      <wps:bodyPr rot="0" vert="horz" wrap="square" lIns="0" tIns="0" rIns="0" bIns="0" anchor="t" anchorCtr="0" upright="1">
                        <a:noAutofit/>
                      </wps:bodyPr>
                    </wps:wsp>
                  </a:graphicData>
                </a:graphic>
              </wp:inline>
            </w:drawing>
          </mc:Choice>
          <mc:Fallback>
            <w:pict>
              <v:shape id="Text Box 48" o:spid="_x0000_s1028" type="#_x0000_t202" style="width:493.1pt;height:15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" filled="f" strokecolor="#2e75b5" strokeweight=".48pt">
                <v:textbox inset="0,0,0,0">
                  <w:txbxContent>
                    <w:p w:rsidR="00AC683C" w:rsidRDefault="00FD2153">
                      <w:pPr>
                        <w:pStyle w:val="Textindependent"/>
                        <w:spacing w:before="17"/>
                        <w:ind w:left="107" w:right="115"/>
                      </w:pPr>
                      <w:r>
                        <w:rPr>
                          <w:color w:val="2E75B5"/>
                        </w:rPr>
                        <w:t>The CoreTrustSeal certification process depends on responses supported by evidence. The quality of public supporting evidence is expected to increase over time. Applications are harder to assess if information is missing, insufficient, or unclear; if URL l</w:t>
                      </w:r>
                      <w:r>
                        <w:rPr>
                          <w:color w:val="2E75B5"/>
                        </w:rPr>
                        <w:t>inks are broken; or if evidence statements continuously cross-reference one</w:t>
                      </w:r>
                      <w:r>
                        <w:rPr>
                          <w:color w:val="2E75B5"/>
                          <w:spacing w:val="-3"/>
                        </w:rPr>
                        <w:t xml:space="preserve"> </w:t>
                      </w:r>
                      <w:r>
                        <w:rPr>
                          <w:color w:val="2E75B5"/>
                        </w:rPr>
                        <w:t>another.</w:t>
                      </w:r>
                    </w:p>
                    <w:p w:rsidR="00AC683C" w:rsidRDefault="00FD2153">
                      <w:pPr>
                        <w:pStyle w:val="Textindependent"/>
                        <w:spacing w:before="180"/>
                        <w:ind w:left="107" w:right="460"/>
                        <w:jc w:val="both"/>
                      </w:pPr>
                      <w:r>
                        <w:rPr>
                          <w:color w:val="2E75B5"/>
                        </w:rPr>
                        <w:t>Familiarity with, or inside knowledge of the repository by the reviewer must not play a role when judging the available evidence. The final, public evidence statement must</w:t>
                      </w:r>
                      <w:r>
                        <w:rPr>
                          <w:color w:val="2E75B5"/>
                        </w:rPr>
                        <w:t xml:space="preserve"> also be clear for peer repositories to understand.</w:t>
                      </w:r>
                    </w:p>
                    <w:p w:rsidR="00AC683C" w:rsidRDefault="00FD2153">
                      <w:pPr>
                        <w:pStyle w:val="Textindependent"/>
                        <w:spacing w:before="180"/>
                        <w:ind w:left="107" w:right="137"/>
                      </w:pPr>
                      <w:r>
                        <w:rPr>
                          <w:color w:val="2E75B5"/>
                        </w:rPr>
                        <w:t>It is not expected for a reviewer to search through the applicant’s website for evidence. If the information provided is insufficient for the reviewer to reach a decision, the application will be returned</w:t>
                      </w:r>
                      <w:r>
                        <w:rPr>
                          <w:color w:val="2E75B5"/>
                        </w:rPr>
                        <w:t xml:space="preserve"> with an explanation of why the evidence is deficient. No Compliance Level will be given at this stage by the reviewer.</w:t>
                      </w:r>
                    </w:p>
                  </w:txbxContent>
                </v:textbox>
                <w10:anchorlock/>
              </v:shape>
            </w:pict>
          </mc:Fallback>
        </mc:AlternateContent>
      </w:r>
    </w:p>
    <w:p w:rsidR="00AC683C" w:rsidRDefault="000A2A0E">
      <w:pPr>
        <w:spacing w:before="143"/>
        <w:ind w:left="232"/>
        <w:rPr>
          <w:b/>
          <w:sz w:val="28"/>
        </w:rPr>
      </w:pPr>
      <w:r>
        <w:rPr>
          <w:noProof/>
          <w:lang w:val="es-ES" w:eastAsia="es-ES" w:bidi="ar-SA"/>
        </w:rPr>
        <mc:AlternateContent>
          <mc:Choice Requires="wpg">
            <w:drawing>
              <wp:anchor distT="0" distB="0" distL="0" distR="0" simplePos="0" relativeHeight="251665408" behindDoc="1" locked="0" layoutInCell="1" allowOverlap="1">
                <wp:simplePos x="0" y="0"/>
                <wp:positionH relativeFrom="page">
                  <wp:posOffset>644525</wp:posOffset>
                </wp:positionH>
                <wp:positionV relativeFrom="paragraph">
                  <wp:posOffset>374650</wp:posOffset>
                </wp:positionV>
                <wp:extent cx="6268720" cy="340360"/>
                <wp:effectExtent l="0" t="0" r="0" b="0"/>
                <wp:wrapTopAndBottom/>
                <wp:docPr id="44"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8720" cy="340360"/>
                          <a:chOff x="1015" y="590"/>
                          <a:chExt cx="9872" cy="536"/>
                        </a:xfrm>
                      </wpg:grpSpPr>
                      <wps:wsp>
                        <wps:cNvPr id="45" name="Line 47"/>
                        <wps:cNvCnPr>
                          <a:cxnSpLocks noChangeShapeType="1"/>
                        </wps:cNvCnPr>
                        <wps:spPr bwMode="auto">
                          <a:xfrm>
                            <a:off x="1025" y="595"/>
                            <a:ext cx="9852" cy="0"/>
                          </a:xfrm>
                          <a:prstGeom prst="line">
                            <a:avLst/>
                          </a:prstGeom>
                          <a:noFill/>
                          <a:ln w="6109">
                            <a:solidFill>
                              <a:srgbClr val="2E75B5"/>
                            </a:solidFill>
                            <a:prstDash val="solid"/>
                            <a:round/>
                            <a:headEnd/>
                            <a:tailEnd/>
                          </a:ln>
                          <a:extLst>
                            <a:ext uri="{909E8E84-426E-40DD-AFC4-6F175D3DCCD1}">
                              <a14:hiddenFill xmlns:a14="http://schemas.microsoft.com/office/drawing/2010/main">
                                <a:noFill/>
                              </a14:hiddenFill>
                            </a:ext>
                          </a:extLst>
                        </wps:spPr>
                        <wps:bodyPr/>
                      </wps:wsp>
                      <wps:wsp>
                        <wps:cNvPr id="46" name="Line 46"/>
                        <wps:cNvCnPr>
                          <a:cxnSpLocks noChangeShapeType="1"/>
                        </wps:cNvCnPr>
                        <wps:spPr bwMode="auto">
                          <a:xfrm>
                            <a:off x="1020" y="590"/>
                            <a:ext cx="0" cy="536"/>
                          </a:xfrm>
                          <a:prstGeom prst="line">
                            <a:avLst/>
                          </a:prstGeom>
                          <a:noFill/>
                          <a:ln w="6096">
                            <a:solidFill>
                              <a:srgbClr val="2E75B5"/>
                            </a:solidFill>
                            <a:prstDash val="solid"/>
                            <a:round/>
                            <a:headEnd/>
                            <a:tailEnd/>
                          </a:ln>
                          <a:extLst>
                            <a:ext uri="{909E8E84-426E-40DD-AFC4-6F175D3DCCD1}">
                              <a14:hiddenFill xmlns:a14="http://schemas.microsoft.com/office/drawing/2010/main">
                                <a:noFill/>
                              </a14:hiddenFill>
                            </a:ext>
                          </a:extLst>
                        </wps:spPr>
                        <wps:bodyPr/>
                      </wps:wsp>
                      <wps:wsp>
                        <wps:cNvPr id="47" name="Line 45"/>
                        <wps:cNvCnPr>
                          <a:cxnSpLocks noChangeShapeType="1"/>
                        </wps:cNvCnPr>
                        <wps:spPr bwMode="auto">
                          <a:xfrm>
                            <a:off x="10882" y="590"/>
                            <a:ext cx="0" cy="536"/>
                          </a:xfrm>
                          <a:prstGeom prst="line">
                            <a:avLst/>
                          </a:prstGeom>
                          <a:noFill/>
                          <a:ln w="6096">
                            <a:solidFill>
                              <a:srgbClr val="2E75B5"/>
                            </a:solidFill>
                            <a:prstDash val="solid"/>
                            <a:round/>
                            <a:headEnd/>
                            <a:tailEnd/>
                          </a:ln>
                          <a:extLst>
                            <a:ext uri="{909E8E84-426E-40DD-AFC4-6F175D3DCCD1}">
                              <a14:hiddenFill xmlns:a14="http://schemas.microsoft.com/office/drawing/2010/main">
                                <a:noFill/>
                              </a14:hiddenFill>
                            </a:ext>
                          </a:extLst>
                        </wps:spPr>
                        <wps:bodyPr/>
                      </wps:wsp>
                      <wps:wsp>
                        <wps:cNvPr id="48" name="Text Box 44"/>
                        <wps:cNvSpPr txBox="1">
                          <a:spLocks noChangeArrowheads="1"/>
                        </wps:cNvSpPr>
                        <wps:spPr bwMode="auto">
                          <a:xfrm>
                            <a:off x="1015" y="590"/>
                            <a:ext cx="9872" cy="5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683C" w:rsidRDefault="00FD2153">
                              <w:pPr>
                                <w:spacing w:before="26"/>
                                <w:ind w:left="117" w:right="146"/>
                              </w:pPr>
                              <w:r>
                                <w:rPr>
                                  <w:color w:val="2E75B5"/>
                                </w:rPr>
                                <w:t>Reviewers and readers of the final, public review should be able t</w:t>
                              </w:r>
                              <w:r>
                                <w:rPr>
                                  <w:color w:val="2E75B5"/>
                                </w:rPr>
                                <w:t>o understand the Requirement responses without detailed reading of supportive evidence. When longer documents are presented</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3" o:spid="_x0000_s1029" style="position:absolute;left:0;text-align:left;margin-left:50.75pt;margin-top:29.5pt;width:493.6pt;height:26.8pt;z-index:-251651072;mso-wrap-distance-left:0;mso-wrap-distance-right:0;mso-position-horizontal-relative:page;mso-position-vertical-relative:text" coordorigin="1015,590" coordsize="9872,5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">
                <v:line id="Line 47" o:spid="_x0000_s1030" style="position:absolute;visibility:visible;mso-wrap-style:square" from="1025,595" to="10877,5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" strokecolor="#2e75b5" strokeweight=".16969mm"/>
                <v:line id="Line 46" o:spid="_x0000_s1031" style="position:absolute;visibility:visible;mso-wrap-style:square" from="1020,590" to="1020,1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" strokecolor="#2e75b5" strokeweight=".48pt"/>
                <v:line id="Line 45" o:spid="_x0000_s1032" style="position:absolute;visibility:visible;mso-wrap-style:square" from="10882,590" to="10882,1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" strokecolor="#2e75b5" strokeweight=".48pt"/>
                <v:shape id="Text Box 44" o:spid="_x0000_s1033" type="#_x0000_t202" style="position:absolute;left:1015;top:590;width:9872;height: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swAAAANsAAAAPAAAAZHJzL2Rvd25yZXYueG1sRE9Ni8Iw&#10;EL0v+B/CCN7W1E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PyBrMAAAADbAAAADwAAAAAA&#10;AAAAAAAAAAAHAgAAZHJzL2Rvd25yZXYueG1sUEsFBgAAAAADAAMAtwAAAPQCAAAAAA==&#10;" filled="f" stroked="f">
                  <v:textbox inset="0,0,0,0">
                    <w:txbxContent>
                      <w:p w:rsidR="00AC683C" w:rsidRDefault="00FD2153">
                        <w:pPr>
                          <w:spacing w:before="26"/>
                          <w:ind w:left="117" w:right="146"/>
                        </w:pPr>
                        <w:r>
                          <w:rPr>
                            <w:color w:val="2E75B5"/>
                          </w:rPr>
                          <w:t>Reviewers and readers of the final, public review should be able t</w:t>
                        </w:r>
                        <w:r>
                          <w:rPr>
                            <w:color w:val="2E75B5"/>
                          </w:rPr>
                          <w:t>o understand the Requirement responses without detailed reading of supportive evidence. When longer documents are presented</w:t>
                        </w:r>
                      </w:p>
                    </w:txbxContent>
                  </v:textbox>
                </v:shape>
                <w10:wrap type="topAndBottom" anchorx="page"/>
              </v:group>
            </w:pict>
          </mc:Fallback>
        </mc:AlternateContent>
      </w:r>
      <w:bookmarkStart w:id="12" w:name="Understandability_of_documentation"/>
      <w:bookmarkStart w:id="13" w:name="_bookmark6"/>
      <w:bookmarkEnd w:id="12"/>
      <w:bookmarkEnd w:id="13"/>
      <w:r w:rsidR="00FD2153">
        <w:rPr>
          <w:b/>
          <w:sz w:val="28"/>
        </w:rPr>
        <w:t>Understandability of documentation</w:t>
      </w:r>
    </w:p>
    <w:p w:rsidR="00AC683C" w:rsidRDefault="00AC683C">
      <w:pPr>
        <w:rPr>
          <w:sz w:val="28"/>
        </w:rPr>
        <w:sectPr w:rsidR="00AC683C">
          <w:pgSz w:w="11910" w:h="16840"/>
          <w:pgMar w:top="1020" w:right="900" w:bottom="1060" w:left="900" w:header="724" w:footer="860" w:gutter="0"/>
          <w:cols w:space="720"/>
        </w:sectPr>
      </w:pPr>
    </w:p>
    <w:p w:rsidR="00AC683C" w:rsidRDefault="00AC683C">
      <w:pPr>
        <w:pStyle w:val="Textindependent"/>
        <w:spacing w:before="9"/>
        <w:ind w:left="0"/>
        <w:rPr>
          <w:b/>
          <w:sz w:val="7"/>
        </w:rPr>
      </w:pPr>
    </w:p>
    <w:p w:rsidR="00AC683C" w:rsidRDefault="000A2A0E">
      <w:pPr>
        <w:pStyle w:val="Textindependent"/>
        <w:ind w:left="115"/>
        <w:rPr>
          <w:sz w:val="20"/>
        </w:rPr>
      </w:pPr>
      <w:r>
        <w:rPr>
          <w:noProof/>
          <w:sz w:val="20"/>
          <w:lang w:val="es-ES" w:eastAsia="es-ES" w:bidi="ar-SA"/>
        </w:rPr>
        <mc:AlternateContent>
          <mc:Choice Requires="wpg">
            <w:drawing>
              <wp:inline distT="0" distB="0" distL="0" distR="0">
                <wp:extent cx="6268720" cy="501650"/>
                <wp:effectExtent l="6350" t="8890" r="1905" b="13335"/>
                <wp:docPr id="35"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8720" cy="501650"/>
                          <a:chOff x="0" y="0"/>
                          <a:chExt cx="9872" cy="790"/>
                        </a:xfrm>
                      </wpg:grpSpPr>
                      <wps:wsp>
                        <wps:cNvPr id="36" name="Line 42"/>
                        <wps:cNvCnPr>
                          <a:cxnSpLocks noChangeShapeType="1"/>
                        </wps:cNvCnPr>
                        <wps:spPr bwMode="auto">
                          <a:xfrm>
                            <a:off x="5" y="0"/>
                            <a:ext cx="0" cy="254"/>
                          </a:xfrm>
                          <a:prstGeom prst="line">
                            <a:avLst/>
                          </a:prstGeom>
                          <a:noFill/>
                          <a:ln w="6096">
                            <a:solidFill>
                              <a:srgbClr val="2E75B5"/>
                            </a:solidFill>
                            <a:prstDash val="solid"/>
                            <a:round/>
                            <a:headEnd/>
                            <a:tailEnd/>
                          </a:ln>
                          <a:extLst>
                            <a:ext uri="{909E8E84-426E-40DD-AFC4-6F175D3DCCD1}">
                              <a14:hiddenFill xmlns:a14="http://schemas.microsoft.com/office/drawing/2010/main">
                                <a:noFill/>
                              </a14:hiddenFill>
                            </a:ext>
                          </a:extLst>
                        </wps:spPr>
                        <wps:bodyPr/>
                      </wps:wsp>
                      <wps:wsp>
                        <wps:cNvPr id="37" name="Line 41"/>
                        <wps:cNvCnPr>
                          <a:cxnSpLocks noChangeShapeType="1"/>
                        </wps:cNvCnPr>
                        <wps:spPr bwMode="auto">
                          <a:xfrm>
                            <a:off x="5" y="254"/>
                            <a:ext cx="0" cy="252"/>
                          </a:xfrm>
                          <a:prstGeom prst="line">
                            <a:avLst/>
                          </a:prstGeom>
                          <a:noFill/>
                          <a:ln w="6096">
                            <a:solidFill>
                              <a:srgbClr val="2E75B5"/>
                            </a:solidFill>
                            <a:prstDash val="solid"/>
                            <a:round/>
                            <a:headEnd/>
                            <a:tailEnd/>
                          </a:ln>
                          <a:extLst>
                            <a:ext uri="{909E8E84-426E-40DD-AFC4-6F175D3DCCD1}">
                              <a14:hiddenFill xmlns:a14="http://schemas.microsoft.com/office/drawing/2010/main">
                                <a:noFill/>
                              </a14:hiddenFill>
                            </a:ext>
                          </a:extLst>
                        </wps:spPr>
                        <wps:bodyPr/>
                      </wps:wsp>
                      <wps:wsp>
                        <wps:cNvPr id="38" name="Line 40"/>
                        <wps:cNvCnPr>
                          <a:cxnSpLocks noChangeShapeType="1"/>
                        </wps:cNvCnPr>
                        <wps:spPr bwMode="auto">
                          <a:xfrm>
                            <a:off x="10" y="785"/>
                            <a:ext cx="9852" cy="0"/>
                          </a:xfrm>
                          <a:prstGeom prst="line">
                            <a:avLst/>
                          </a:prstGeom>
                          <a:noFill/>
                          <a:ln w="6109">
                            <a:solidFill>
                              <a:srgbClr val="2E75B5"/>
                            </a:solidFill>
                            <a:prstDash val="solid"/>
                            <a:round/>
                            <a:headEnd/>
                            <a:tailEnd/>
                          </a:ln>
                          <a:extLst>
                            <a:ext uri="{909E8E84-426E-40DD-AFC4-6F175D3DCCD1}">
                              <a14:hiddenFill xmlns:a14="http://schemas.microsoft.com/office/drawing/2010/main">
                                <a:noFill/>
                              </a14:hiddenFill>
                            </a:ext>
                          </a:extLst>
                        </wps:spPr>
                        <wps:bodyPr/>
                      </wps:wsp>
                      <wps:wsp>
                        <wps:cNvPr id="39" name="Line 39"/>
                        <wps:cNvCnPr>
                          <a:cxnSpLocks noChangeShapeType="1"/>
                        </wps:cNvCnPr>
                        <wps:spPr bwMode="auto">
                          <a:xfrm>
                            <a:off x="5" y="506"/>
                            <a:ext cx="0" cy="284"/>
                          </a:xfrm>
                          <a:prstGeom prst="line">
                            <a:avLst/>
                          </a:prstGeom>
                          <a:noFill/>
                          <a:ln w="6096">
                            <a:solidFill>
                              <a:srgbClr val="2E75B5"/>
                            </a:solidFill>
                            <a:prstDash val="solid"/>
                            <a:round/>
                            <a:headEnd/>
                            <a:tailEnd/>
                          </a:ln>
                          <a:extLst>
                            <a:ext uri="{909E8E84-426E-40DD-AFC4-6F175D3DCCD1}">
                              <a14:hiddenFill xmlns:a14="http://schemas.microsoft.com/office/drawing/2010/main">
                                <a:noFill/>
                              </a14:hiddenFill>
                            </a:ext>
                          </a:extLst>
                        </wps:spPr>
                        <wps:bodyPr/>
                      </wps:wsp>
                      <wps:wsp>
                        <wps:cNvPr id="40" name="Line 38"/>
                        <wps:cNvCnPr>
                          <a:cxnSpLocks noChangeShapeType="1"/>
                        </wps:cNvCnPr>
                        <wps:spPr bwMode="auto">
                          <a:xfrm>
                            <a:off x="9866" y="0"/>
                            <a:ext cx="0" cy="254"/>
                          </a:xfrm>
                          <a:prstGeom prst="line">
                            <a:avLst/>
                          </a:prstGeom>
                          <a:noFill/>
                          <a:ln w="6096">
                            <a:solidFill>
                              <a:srgbClr val="2E75B5"/>
                            </a:solidFill>
                            <a:prstDash val="solid"/>
                            <a:round/>
                            <a:headEnd/>
                            <a:tailEnd/>
                          </a:ln>
                          <a:extLst>
                            <a:ext uri="{909E8E84-426E-40DD-AFC4-6F175D3DCCD1}">
                              <a14:hiddenFill xmlns:a14="http://schemas.microsoft.com/office/drawing/2010/main">
                                <a:noFill/>
                              </a14:hiddenFill>
                            </a:ext>
                          </a:extLst>
                        </wps:spPr>
                        <wps:bodyPr/>
                      </wps:wsp>
                      <wps:wsp>
                        <wps:cNvPr id="41" name="Line 37"/>
                        <wps:cNvCnPr>
                          <a:cxnSpLocks noChangeShapeType="1"/>
                        </wps:cNvCnPr>
                        <wps:spPr bwMode="auto">
                          <a:xfrm>
                            <a:off x="9866" y="254"/>
                            <a:ext cx="0" cy="252"/>
                          </a:xfrm>
                          <a:prstGeom prst="line">
                            <a:avLst/>
                          </a:prstGeom>
                          <a:noFill/>
                          <a:ln w="6096">
                            <a:solidFill>
                              <a:srgbClr val="2E75B5"/>
                            </a:solidFill>
                            <a:prstDash val="solid"/>
                            <a:round/>
                            <a:headEnd/>
                            <a:tailEnd/>
                          </a:ln>
                          <a:extLst>
                            <a:ext uri="{909E8E84-426E-40DD-AFC4-6F175D3DCCD1}">
                              <a14:hiddenFill xmlns:a14="http://schemas.microsoft.com/office/drawing/2010/main">
                                <a:noFill/>
                              </a14:hiddenFill>
                            </a:ext>
                          </a:extLst>
                        </wps:spPr>
                        <wps:bodyPr/>
                      </wps:wsp>
                      <wps:wsp>
                        <wps:cNvPr id="42" name="Line 36"/>
                        <wps:cNvCnPr>
                          <a:cxnSpLocks noChangeShapeType="1"/>
                        </wps:cNvCnPr>
                        <wps:spPr bwMode="auto">
                          <a:xfrm>
                            <a:off x="9866" y="506"/>
                            <a:ext cx="0" cy="284"/>
                          </a:xfrm>
                          <a:prstGeom prst="line">
                            <a:avLst/>
                          </a:prstGeom>
                          <a:noFill/>
                          <a:ln w="6096">
                            <a:solidFill>
                              <a:srgbClr val="2E75B5"/>
                            </a:solidFill>
                            <a:prstDash val="solid"/>
                            <a:round/>
                            <a:headEnd/>
                            <a:tailEnd/>
                          </a:ln>
                          <a:extLst>
                            <a:ext uri="{909E8E84-426E-40DD-AFC4-6F175D3DCCD1}">
                              <a14:hiddenFill xmlns:a14="http://schemas.microsoft.com/office/drawing/2010/main">
                                <a:noFill/>
                              </a14:hiddenFill>
                            </a:ext>
                          </a:extLst>
                        </wps:spPr>
                        <wps:bodyPr/>
                      </wps:wsp>
                      <wps:wsp>
                        <wps:cNvPr id="43" name="Text Box 35"/>
                        <wps:cNvSpPr txBox="1">
                          <a:spLocks noChangeArrowheads="1"/>
                        </wps:cNvSpPr>
                        <wps:spPr bwMode="auto">
                          <a:xfrm>
                            <a:off x="0" y="0"/>
                            <a:ext cx="9872" cy="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683C" w:rsidRDefault="00FD2153">
                              <w:pPr>
                                <w:ind w:left="117" w:right="566"/>
                                <w:jc w:val="both"/>
                              </w:pPr>
                              <w:r>
                                <w:rPr>
                                  <w:color w:val="2E75B5"/>
                                </w:rPr>
                                <w:t>as evidence, or a document is used as evidence for more than one Re</w:t>
                              </w:r>
                              <w:r>
                                <w:rPr>
                                  <w:color w:val="2E75B5"/>
                                </w:rPr>
                                <w:t>quirement, the applicant should refer specifically to which sections are relevant and quote/summarize the information in their response.</w:t>
                              </w:r>
                            </w:p>
                          </w:txbxContent>
                        </wps:txbx>
                        <wps:bodyPr rot="0" vert="horz" wrap="square" lIns="0" tIns="0" rIns="0" bIns="0" anchor="t" anchorCtr="0" upright="1">
                          <a:noAutofit/>
                        </wps:bodyPr>
                      </wps:wsp>
                    </wpg:wgp>
                  </a:graphicData>
                </a:graphic>
              </wp:inline>
            </w:drawing>
          </mc:Choice>
          <mc:Fallback>
            <w:pict>
              <v:group id="Group 34" o:spid="_x0000_s1034" style="width:493.6pt;height:39.5pt;mso-position-horizontal-relative:char;mso-position-vertical-relative:line" coordsize="9872,7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">
                <v:line id="Line 42" o:spid="_x0000_s1035" style="position:absolute;visibility:visible;mso-wrap-style:square" from="5,0" to="5,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" strokecolor="#2e75b5" strokeweight=".48pt"/>
                <v:line id="Line 41" o:spid="_x0000_s1036" style="position:absolute;visibility:visible;mso-wrap-style:square" from="5,254" to="5,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" strokecolor="#2e75b5" strokeweight=".48pt"/>
                <v:line id="Line 40" o:spid="_x0000_s1037" style="position:absolute;visibility:visible;mso-wrap-style:square" from="10,785" to="9862,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" strokecolor="#2e75b5" strokeweight=".16969mm"/>
                <v:line id="Line 39" o:spid="_x0000_s1038" style="position:absolute;visibility:visible;mso-wrap-style:square" from="5,506" to="5,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" strokecolor="#2e75b5" strokeweight=".48pt"/>
                <v:line id="Line 38" o:spid="_x0000_s1039" style="position:absolute;visibility:visible;mso-wrap-style:square" from="9866,0" to="9866,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" strokecolor="#2e75b5" strokeweight=".48pt"/>
                <v:line id="Line 37" o:spid="_x0000_s1040" style="position:absolute;visibility:visible;mso-wrap-style:square" from="9866,254" to="9866,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" strokecolor="#2e75b5" strokeweight=".48pt"/>
                <v:line id="Line 36" o:spid="_x0000_s1041" style="position:absolute;visibility:visible;mso-wrap-style:square" from="9866,506" to="9866,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" strokecolor="#2e75b5" strokeweight=".48pt"/>
                <v:shape id="Text Box 35" o:spid="_x0000_s1042" type="#_x0000_t202" style="position:absolute;width:9872;height:7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AC683C" w:rsidRDefault="00FD2153">
                        <w:pPr>
                          <w:ind w:left="117" w:right="566"/>
                          <w:jc w:val="both"/>
                        </w:pPr>
                        <w:r>
                          <w:rPr>
                            <w:color w:val="2E75B5"/>
                          </w:rPr>
                          <w:t>as evidence, or a document is used as evidence for more than one Re</w:t>
                        </w:r>
                        <w:r>
                          <w:rPr>
                            <w:color w:val="2E75B5"/>
                          </w:rPr>
                          <w:t>quirement, the applicant should refer specifically to which sections are relevant and quote/summarize the information in their response.</w:t>
                        </w:r>
                      </w:p>
                    </w:txbxContent>
                  </v:textbox>
                </v:shape>
                <w10:anchorlock/>
              </v:group>
            </w:pict>
          </mc:Fallback>
        </mc:AlternateContent>
      </w:r>
    </w:p>
    <w:p w:rsidR="00AC683C" w:rsidRDefault="000A2A0E">
      <w:pPr>
        <w:spacing w:before="136"/>
        <w:ind w:left="232"/>
        <w:rPr>
          <w:b/>
          <w:sz w:val="28"/>
        </w:rPr>
      </w:pPr>
      <w:r>
        <w:rPr>
          <w:noProof/>
          <w:lang w:val="es-ES" w:eastAsia="es-ES" w:bidi="ar-SA"/>
        </w:rPr>
        <mc:AlternateContent>
          <mc:Choice Requires="wps">
            <w:drawing>
              <wp:anchor distT="0" distB="0" distL="0" distR="0" simplePos="0" relativeHeight="251668480" behindDoc="1" locked="0" layoutInCell="1" allowOverlap="1">
                <wp:simplePos x="0" y="0"/>
                <wp:positionH relativeFrom="page">
                  <wp:posOffset>647700</wp:posOffset>
                </wp:positionH>
                <wp:positionV relativeFrom="paragraph">
                  <wp:posOffset>372110</wp:posOffset>
                </wp:positionV>
                <wp:extent cx="6262370" cy="675640"/>
                <wp:effectExtent l="0" t="0" r="0" b="0"/>
                <wp:wrapTopAndBottom/>
                <wp:docPr id="34"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2370" cy="675640"/>
                        </a:xfrm>
                        <a:prstGeom prst="rect">
                          <a:avLst/>
                        </a:prstGeom>
                        <a:noFill/>
                        <a:ln w="6096">
                          <a:solidFill>
                            <a:srgbClr val="2E75B5"/>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AC683C" w:rsidRDefault="00FD2153">
                            <w:pPr>
                              <w:pStyle w:val="Textindependent"/>
                              <w:spacing w:before="17"/>
                              <w:ind w:left="107" w:right="88"/>
                            </w:pPr>
                            <w:r>
                              <w:rPr>
                                <w:color w:val="2E75B5"/>
                              </w:rPr>
                              <w:t>Documentation in languages other than English is acceptable if its content is sufficiently and clearly explained in an English summary. This summary can be quite brief for certain types of documents (e.g., a list of preferred formats), but should be longer</w:t>
                            </w:r>
                            <w:r>
                              <w:rPr>
                                <w:color w:val="2E75B5"/>
                              </w:rPr>
                              <w:t xml:space="preserve"> for others (e.g., a Preservation Policy document).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3" o:spid="_x0000_s1043" type="#_x0000_t202" style="position:absolute;left:0;text-align:left;margin-left:51pt;margin-top:29.3pt;width:493.1pt;height:53.2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" filled="f" strokecolor="#2e75b5" strokeweight=".48pt">
                <v:textbox inset="0,0,0,0">
                  <w:txbxContent>
                    <w:p w:rsidR="00AC683C" w:rsidRDefault="00FD2153">
                      <w:pPr>
                        <w:pStyle w:val="Textindependent"/>
                        <w:spacing w:before="17"/>
                        <w:ind w:left="107" w:right="88"/>
                      </w:pPr>
                      <w:r>
                        <w:rPr>
                          <w:color w:val="2E75B5"/>
                        </w:rPr>
                        <w:t>Documentation in languages other than English is acceptable if its content is sufficiently and clearly explained in an English summary. This summary can be quite brief for certain types of documents (e.g., a list of preferred formats), but should be longer</w:t>
                      </w:r>
                      <w:r>
                        <w:rPr>
                          <w:color w:val="2E75B5"/>
                        </w:rPr>
                        <w:t xml:space="preserve"> for others (e.g., a Preservation Policy document).</w:t>
                      </w:r>
                    </w:p>
                  </w:txbxContent>
                </v:textbox>
                <w10:wrap type="topAndBottom" anchorx="page"/>
              </v:shape>
            </w:pict>
          </mc:Fallback>
        </mc:AlternateContent>
      </w:r>
      <w:bookmarkStart w:id="14" w:name="Non-English_language_documentation"/>
      <w:bookmarkStart w:id="15" w:name="_bookmark7"/>
      <w:bookmarkEnd w:id="14"/>
      <w:bookmarkEnd w:id="15"/>
      <w:r w:rsidR="00FD2153">
        <w:rPr>
          <w:b/>
          <w:sz w:val="28"/>
        </w:rPr>
        <w:t>Non-English language documentation</w:t>
      </w:r>
    </w:p>
    <w:p w:rsidR="00AC683C" w:rsidRDefault="00FD2153">
      <w:pPr>
        <w:spacing w:before="147" w:after="123"/>
        <w:ind w:left="232"/>
        <w:rPr>
          <w:b/>
          <w:sz w:val="28"/>
        </w:rPr>
      </w:pPr>
      <w:bookmarkStart w:id="16" w:name="Sensitive_and_other_internal_documentati"/>
      <w:bookmarkStart w:id="17" w:name="_bookmark8"/>
      <w:bookmarkEnd w:id="16"/>
      <w:bookmarkEnd w:id="17"/>
      <w:r>
        <w:rPr>
          <w:b/>
          <w:sz w:val="28"/>
        </w:rPr>
        <w:t>Sensitive and other internal documentation</w:t>
      </w:r>
    </w:p>
    <w:p w:rsidR="00AC683C" w:rsidRDefault="000A2A0E">
      <w:pPr>
        <w:pStyle w:val="Textindependent"/>
        <w:ind w:left="115"/>
        <w:rPr>
          <w:sz w:val="20"/>
        </w:rPr>
      </w:pPr>
      <w:r>
        <w:rPr>
          <w:noProof/>
          <w:sz w:val="20"/>
          <w:lang w:val="es-ES" w:eastAsia="es-ES" w:bidi="ar-SA"/>
        </w:rPr>
        <mc:AlternateContent>
          <mc:Choice Requires="wps">
            <w:drawing>
              <wp:inline distT="0" distB="0" distL="0" distR="0">
                <wp:extent cx="6262370" cy="1914525"/>
                <wp:effectExtent l="6350" t="13335" r="8255" b="5715"/>
                <wp:docPr id="33"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2370" cy="1914525"/>
                        </a:xfrm>
                        <a:prstGeom prst="rect">
                          <a:avLst/>
                        </a:prstGeom>
                        <a:noFill/>
                        <a:ln w="6096">
                          <a:solidFill>
                            <a:srgbClr val="2E75B5"/>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AC683C" w:rsidRDefault="00FD2153">
                            <w:pPr>
                              <w:pStyle w:val="Textindependent"/>
                              <w:spacing w:before="17"/>
                              <w:ind w:left="107" w:right="156"/>
                            </w:pPr>
                            <w:r>
                              <w:rPr>
                                <w:color w:val="2E75B5"/>
                              </w:rPr>
                              <w:t>CoreTrustSeal certification does not require supporting information to be made public that is confidential, commercially se</w:t>
                            </w:r>
                            <w:r>
                              <w:rPr>
                                <w:color w:val="2E75B5"/>
                              </w:rPr>
                              <w:t xml:space="preserve">nsitive, or poses a security risk. This also applies to documents that are available only on the intranet of a repository. Applicants may have business information that contains both sensitive information </w:t>
                            </w:r>
                            <w:r>
                              <w:rPr>
                                <w:i/>
                                <w:color w:val="2E75B5"/>
                              </w:rPr>
                              <w:t xml:space="preserve">and </w:t>
                            </w:r>
                            <w:r>
                              <w:rPr>
                                <w:color w:val="2E75B5"/>
                              </w:rPr>
                              <w:t>relevant evidence for the CoreTrustSeal. Such e</w:t>
                            </w:r>
                            <w:r>
                              <w:rPr>
                                <w:color w:val="2E75B5"/>
                              </w:rPr>
                              <w:t>vidence can be submitted confidentially to the reviewers and the documents named and described in the application</w:t>
                            </w:r>
                            <w:hyperlink w:anchor="_bookmark10" w:history="1">
                              <w:r>
                                <w:rPr>
                                  <w:color w:val="2E75B5"/>
                                  <w:vertAlign w:val="superscript"/>
                                </w:rPr>
                                <w:t>1</w:t>
                              </w:r>
                            </w:hyperlink>
                            <w:r>
                              <w:rPr>
                                <w:color w:val="2E75B5"/>
                              </w:rPr>
                              <w:t xml:space="preserve">. Over time we would expect applicants to separate relevant evidence from confidential materials, and assure a </w:t>
                            </w:r>
                            <w:r>
                              <w:rPr>
                                <w:color w:val="2E75B5"/>
                              </w:rPr>
                              <w:t>public version is made available for the next review.</w:t>
                            </w:r>
                          </w:p>
                          <w:p w:rsidR="00AC683C" w:rsidRDefault="00FD2153">
                            <w:pPr>
                              <w:pStyle w:val="Textindependent"/>
                              <w:spacing w:before="182"/>
                              <w:ind w:left="107" w:right="163"/>
                            </w:pPr>
                            <w:r>
                              <w:rPr>
                                <w:color w:val="2E75B5"/>
                              </w:rPr>
                              <w:t>If documentation does not yet exist, is in progress, or is currently for internal use only (e.g., a wiki), then a date of public availability should be stated in the application. Certification may be ap</w:t>
                            </w:r>
                            <w:r>
                              <w:rPr>
                                <w:color w:val="2E75B5"/>
                              </w:rPr>
                              <w:t>proved on the basis of these assurances. Applicants are expected to provide the public documentation when they renew their certification.</w:t>
                            </w:r>
                          </w:p>
                        </w:txbxContent>
                      </wps:txbx>
                      <wps:bodyPr rot="0" vert="horz" wrap="square" lIns="0" tIns="0" rIns="0" bIns="0" anchor="t" anchorCtr="0" upright="1">
                        <a:noAutofit/>
                      </wps:bodyPr>
                    </wps:wsp>
                  </a:graphicData>
                </a:graphic>
              </wp:inline>
            </w:drawing>
          </mc:Choice>
          <mc:Fallback>
            <w:pict>
              <v:shape id="Text Box 32" o:spid="_x0000_s1044" type="#_x0000_t202" style="width:493.1pt;height:15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" filled="f" strokecolor="#2e75b5" strokeweight=".48pt">
                <v:textbox inset="0,0,0,0">
                  <w:txbxContent>
                    <w:p w:rsidR="00AC683C" w:rsidRDefault="00FD2153">
                      <w:pPr>
                        <w:pStyle w:val="Textindependent"/>
                        <w:spacing w:before="17"/>
                        <w:ind w:left="107" w:right="156"/>
                      </w:pPr>
                      <w:r>
                        <w:rPr>
                          <w:color w:val="2E75B5"/>
                        </w:rPr>
                        <w:t>CoreTrustSeal certification does not require supporting information to be made public that is confidential, commercially se</w:t>
                      </w:r>
                      <w:r>
                        <w:rPr>
                          <w:color w:val="2E75B5"/>
                        </w:rPr>
                        <w:t xml:space="preserve">nsitive, or poses a security risk. This also applies to documents that are available only on the intranet of a repository. Applicants may have business information that contains both sensitive information </w:t>
                      </w:r>
                      <w:r>
                        <w:rPr>
                          <w:i/>
                          <w:color w:val="2E75B5"/>
                        </w:rPr>
                        <w:t xml:space="preserve">and </w:t>
                      </w:r>
                      <w:r>
                        <w:rPr>
                          <w:color w:val="2E75B5"/>
                        </w:rPr>
                        <w:t>relevant evidence for the CoreTrustSeal. Such e</w:t>
                      </w:r>
                      <w:r>
                        <w:rPr>
                          <w:color w:val="2E75B5"/>
                        </w:rPr>
                        <w:t>vidence can be submitted confidentially to the reviewers and the documents named and described in the application</w:t>
                      </w:r>
                      <w:hyperlink w:anchor="_bookmark10" w:history="1">
                        <w:r>
                          <w:rPr>
                            <w:color w:val="2E75B5"/>
                            <w:vertAlign w:val="superscript"/>
                          </w:rPr>
                          <w:t>1</w:t>
                        </w:r>
                      </w:hyperlink>
                      <w:r>
                        <w:rPr>
                          <w:color w:val="2E75B5"/>
                        </w:rPr>
                        <w:t xml:space="preserve">. Over time we would expect applicants to separate relevant evidence from confidential materials, and assure a </w:t>
                      </w:r>
                      <w:r>
                        <w:rPr>
                          <w:color w:val="2E75B5"/>
                        </w:rPr>
                        <w:t>public version is made available for the next review.</w:t>
                      </w:r>
                    </w:p>
                    <w:p w:rsidR="00AC683C" w:rsidRDefault="00FD2153">
                      <w:pPr>
                        <w:pStyle w:val="Textindependent"/>
                        <w:spacing w:before="182"/>
                        <w:ind w:left="107" w:right="163"/>
                      </w:pPr>
                      <w:r>
                        <w:rPr>
                          <w:color w:val="2E75B5"/>
                        </w:rPr>
                        <w:t>If documentation does not yet exist, is in progress, or is currently for internal use only (e.g., a wiki), then a date of public availability should be stated in the application. Certification may be ap</w:t>
                      </w:r>
                      <w:r>
                        <w:rPr>
                          <w:color w:val="2E75B5"/>
                        </w:rPr>
                        <w:t>proved on the basis of these assurances. Applicants are expected to provide the public documentation when they renew their certification.</w:t>
                      </w:r>
                    </w:p>
                  </w:txbxContent>
                </v:textbox>
                <w10:anchorlock/>
              </v:shape>
            </w:pict>
          </mc:Fallback>
        </mc:AlternateContent>
      </w:r>
    </w:p>
    <w:p w:rsidR="00AC683C" w:rsidRDefault="000A2A0E">
      <w:pPr>
        <w:spacing w:before="145"/>
        <w:ind w:left="232"/>
        <w:rPr>
          <w:b/>
          <w:sz w:val="28"/>
        </w:rPr>
      </w:pPr>
      <w:r>
        <w:rPr>
          <w:noProof/>
          <w:lang w:val="es-ES" w:eastAsia="es-ES" w:bidi="ar-SA"/>
        </w:rPr>
        <mc:AlternateContent>
          <mc:Choice Requires="wps">
            <w:drawing>
              <wp:anchor distT="0" distB="0" distL="0" distR="0" simplePos="0" relativeHeight="251670528" behindDoc="1" locked="0" layoutInCell="1" allowOverlap="1">
                <wp:simplePos x="0" y="0"/>
                <wp:positionH relativeFrom="page">
                  <wp:posOffset>647700</wp:posOffset>
                </wp:positionH>
                <wp:positionV relativeFrom="paragraph">
                  <wp:posOffset>377825</wp:posOffset>
                </wp:positionV>
                <wp:extent cx="6262370" cy="3313430"/>
                <wp:effectExtent l="0" t="0" r="0" b="0"/>
                <wp:wrapTopAndBottom/>
                <wp:docPr id="32"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2370" cy="3313430"/>
                        </a:xfrm>
                        <a:prstGeom prst="rect">
                          <a:avLst/>
                        </a:prstGeom>
                        <a:noFill/>
                        <a:ln w="6096">
                          <a:solidFill>
                            <a:srgbClr val="2E75B5"/>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AC683C" w:rsidRDefault="00FD2153">
                            <w:pPr>
                              <w:pStyle w:val="Textindependent"/>
                              <w:spacing w:before="17"/>
                              <w:ind w:left="107" w:right="88"/>
                            </w:pPr>
                            <w:r>
                              <w:rPr>
                                <w:color w:val="2E75B5"/>
                              </w:rPr>
                              <w:t>Applications in progress are confidential to CoreTr</w:t>
                            </w:r>
                            <w:r>
                              <w:rPr>
                                <w:color w:val="2E75B5"/>
                              </w:rPr>
                              <w:t>ustSeal reviewers and the Board, but successful applications are made publicly available. Applicants should therefore keep all of these audiences in mind. Applications should not respond to each item of guidance in a question-and-answer format. Application</w:t>
                            </w:r>
                            <w:r>
                              <w:rPr>
                                <w:color w:val="2E75B5"/>
                              </w:rPr>
                              <w:t>s should include prose responses to each Requirement, incorporating relevant elements of the Guidance and Extended Guidance provided.</w:t>
                            </w:r>
                          </w:p>
                          <w:p w:rsidR="00AC683C" w:rsidRDefault="00FD2153">
                            <w:pPr>
                              <w:pStyle w:val="Textindependent"/>
                              <w:spacing w:before="179"/>
                              <w:ind w:left="107" w:right="89"/>
                            </w:pPr>
                            <w:r>
                              <w:rPr>
                                <w:color w:val="2E75B5"/>
                              </w:rPr>
                              <w:t xml:space="preserve">The CoreTrustSeal Board understands that applicants come from a wide range of organizations of varying mission, size, and </w:t>
                            </w:r>
                            <w:r>
                              <w:rPr>
                                <w:color w:val="2E75B5"/>
                              </w:rPr>
                              <w:t>complexity in both organizational structure and data collection variety. Even the Extended Guidance cannot cover every topic and evidence type that could be relevant to the application. We also understand that space is needed to explain the relevance of ev</w:t>
                            </w:r>
                            <w:r>
                              <w:rPr>
                                <w:color w:val="2E75B5"/>
                              </w:rPr>
                              <w:t>idence provided; especially, if not available in English. The Board does not set minimum or maximum lengths for responses, but in its experience, even the most complex evidence statements are at the lower end of the 500–800 word range. Wherever possible, e</w:t>
                            </w:r>
                            <w:r>
                              <w:rPr>
                                <w:color w:val="2E75B5"/>
                              </w:rPr>
                              <w:t>vidence statements should be supported by public links to the documentation used to govern your organization and manage your digital objects. It is this public evidence that offers the most assurance an organization manages its collections as a Trustworthy</w:t>
                            </w:r>
                            <w:r>
                              <w:rPr>
                                <w:color w:val="2E75B5"/>
                              </w:rPr>
                              <w:t xml:space="preserve"> Data Repository.</w:t>
                            </w:r>
                          </w:p>
                          <w:p w:rsidR="00AC683C" w:rsidRDefault="00FD2153">
                            <w:pPr>
                              <w:pStyle w:val="Textindependent"/>
                              <w:spacing w:before="180"/>
                              <w:ind w:left="107" w:right="199"/>
                            </w:pPr>
                            <w:r>
                              <w:rPr>
                                <w:color w:val="2E75B5"/>
                              </w:rPr>
                              <w:t>Applicants should not need to repeat long portions of text in different Requirement responses. In cases where evidence is applicable to more than one Requirement, a short summary statement of the relevant information should be added and t</w:t>
                            </w:r>
                            <w:r>
                              <w:rPr>
                                <w:color w:val="2E75B5"/>
                              </w:rPr>
                              <w:t>hen a cross-reference to the appropriate response for further details.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 o:spid="_x0000_s1045" type="#_x0000_t202" style="position:absolute;left:0;text-align:left;margin-left:51pt;margin-top:29.75pt;width:493.1pt;height:260.9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" filled="f" strokecolor="#2e75b5" strokeweight=".48pt">
                <v:textbox inset="0,0,0,0">
                  <w:txbxContent>
                    <w:p w:rsidR="00AC683C" w:rsidRDefault="00FD2153">
                      <w:pPr>
                        <w:pStyle w:val="Textindependent"/>
                        <w:spacing w:before="17"/>
                        <w:ind w:left="107" w:right="88"/>
                      </w:pPr>
                      <w:r>
                        <w:rPr>
                          <w:color w:val="2E75B5"/>
                        </w:rPr>
                        <w:t>Applications in progress are confidential to CoreTr</w:t>
                      </w:r>
                      <w:r>
                        <w:rPr>
                          <w:color w:val="2E75B5"/>
                        </w:rPr>
                        <w:t>ustSeal reviewers and the Board, but successful applications are made publicly available. Applicants should therefore keep all of these audiences in mind. Applications should not respond to each item of guidance in a question-and-answer format. Application</w:t>
                      </w:r>
                      <w:r>
                        <w:rPr>
                          <w:color w:val="2E75B5"/>
                        </w:rPr>
                        <w:t>s should include prose responses to each Requirement, incorporating relevant elements of the Guidance and Extended Guidance provided.</w:t>
                      </w:r>
                    </w:p>
                    <w:p w:rsidR="00AC683C" w:rsidRDefault="00FD2153">
                      <w:pPr>
                        <w:pStyle w:val="Textindependent"/>
                        <w:spacing w:before="179"/>
                        <w:ind w:left="107" w:right="89"/>
                      </w:pPr>
                      <w:r>
                        <w:rPr>
                          <w:color w:val="2E75B5"/>
                        </w:rPr>
                        <w:t xml:space="preserve">The CoreTrustSeal Board understands that applicants come from a wide range of organizations of varying mission, size, and </w:t>
                      </w:r>
                      <w:r>
                        <w:rPr>
                          <w:color w:val="2E75B5"/>
                        </w:rPr>
                        <w:t>complexity in both organizational structure and data collection variety. Even the Extended Guidance cannot cover every topic and evidence type that could be relevant to the application. We also understand that space is needed to explain the relevance of ev</w:t>
                      </w:r>
                      <w:r>
                        <w:rPr>
                          <w:color w:val="2E75B5"/>
                        </w:rPr>
                        <w:t>idence provided; especially, if not available in English. The Board does not set minimum or maximum lengths for responses, but in its experience, even the most complex evidence statements are at the lower end of the 500–800 word range. Wherever possible, e</w:t>
                      </w:r>
                      <w:r>
                        <w:rPr>
                          <w:color w:val="2E75B5"/>
                        </w:rPr>
                        <w:t>vidence statements should be supported by public links to the documentation used to govern your organization and manage your digital objects. It is this public evidence that offers the most assurance an organization manages its collections as a Trustworthy</w:t>
                      </w:r>
                      <w:r>
                        <w:rPr>
                          <w:color w:val="2E75B5"/>
                        </w:rPr>
                        <w:t xml:space="preserve"> Data Repository.</w:t>
                      </w:r>
                    </w:p>
                    <w:p w:rsidR="00AC683C" w:rsidRDefault="00FD2153">
                      <w:pPr>
                        <w:pStyle w:val="Textindependent"/>
                        <w:spacing w:before="180"/>
                        <w:ind w:left="107" w:right="199"/>
                      </w:pPr>
                      <w:r>
                        <w:rPr>
                          <w:color w:val="2E75B5"/>
                        </w:rPr>
                        <w:t>Applicants should not need to repeat long portions of text in different Requirement responses. In cases where evidence is applicable to more than one Requirement, a short summary statement of the relevant information should be added and t</w:t>
                      </w:r>
                      <w:r>
                        <w:rPr>
                          <w:color w:val="2E75B5"/>
                        </w:rPr>
                        <w:t>hen a cross-reference to the appropriate response for further details.</w:t>
                      </w:r>
                    </w:p>
                  </w:txbxContent>
                </v:textbox>
                <w10:wrap type="topAndBottom" anchorx="page"/>
              </v:shape>
            </w:pict>
          </mc:Fallback>
        </mc:AlternateContent>
      </w:r>
      <w:bookmarkStart w:id="18" w:name="Application_structure_and_length"/>
      <w:bookmarkStart w:id="19" w:name="_bookmark9"/>
      <w:bookmarkEnd w:id="18"/>
      <w:bookmarkEnd w:id="19"/>
      <w:r w:rsidR="00FD2153">
        <w:rPr>
          <w:b/>
          <w:sz w:val="28"/>
        </w:rPr>
        <w:t>Application structure and length</w:t>
      </w:r>
    </w:p>
    <w:p w:rsidR="00AC683C" w:rsidRDefault="00AC683C">
      <w:pPr>
        <w:pStyle w:val="Textindependent"/>
        <w:ind w:left="0"/>
        <w:rPr>
          <w:b/>
          <w:sz w:val="20"/>
        </w:rPr>
      </w:pPr>
    </w:p>
    <w:p w:rsidR="00AC683C" w:rsidRDefault="00AC683C">
      <w:pPr>
        <w:pStyle w:val="Textindependent"/>
        <w:ind w:left="0"/>
        <w:rPr>
          <w:b/>
          <w:sz w:val="20"/>
        </w:rPr>
      </w:pPr>
    </w:p>
    <w:p w:rsidR="00AC683C" w:rsidRDefault="00AC683C">
      <w:pPr>
        <w:pStyle w:val="Textindependent"/>
        <w:ind w:left="0"/>
        <w:rPr>
          <w:b/>
          <w:sz w:val="20"/>
        </w:rPr>
      </w:pPr>
    </w:p>
    <w:p w:rsidR="00AC683C" w:rsidRDefault="00AC683C">
      <w:pPr>
        <w:pStyle w:val="Textindependent"/>
        <w:ind w:left="0"/>
        <w:rPr>
          <w:b/>
          <w:sz w:val="20"/>
        </w:rPr>
      </w:pPr>
    </w:p>
    <w:p w:rsidR="00AC683C" w:rsidRDefault="00AC683C">
      <w:pPr>
        <w:pStyle w:val="Textindependent"/>
        <w:ind w:left="0"/>
        <w:rPr>
          <w:b/>
          <w:sz w:val="20"/>
        </w:rPr>
      </w:pPr>
    </w:p>
    <w:p w:rsidR="00AC683C" w:rsidRDefault="00AC683C">
      <w:pPr>
        <w:pStyle w:val="Textindependent"/>
        <w:ind w:left="0"/>
        <w:rPr>
          <w:b/>
          <w:sz w:val="20"/>
        </w:rPr>
      </w:pPr>
    </w:p>
    <w:p w:rsidR="00AC683C" w:rsidRDefault="000A2A0E">
      <w:pPr>
        <w:pStyle w:val="Textindependent"/>
        <w:spacing w:before="4"/>
        <w:ind w:left="0"/>
        <w:rPr>
          <w:b/>
          <w:sz w:val="16"/>
        </w:rPr>
      </w:pPr>
      <w:r>
        <w:rPr>
          <w:noProof/>
          <w:lang w:val="es-ES" w:eastAsia="es-ES" w:bidi="ar-SA"/>
        </w:rPr>
        <mc:AlternateContent>
          <mc:Choice Requires="wps">
            <w:drawing>
              <wp:anchor distT="0" distB="0" distL="0" distR="0" simplePos="0" relativeHeight="251671552" behindDoc="1" locked="0" layoutInCell="1" allowOverlap="1">
                <wp:simplePos x="0" y="0"/>
                <wp:positionH relativeFrom="page">
                  <wp:posOffset>719455</wp:posOffset>
                </wp:positionH>
                <wp:positionV relativeFrom="paragraph">
                  <wp:posOffset>147955</wp:posOffset>
                </wp:positionV>
                <wp:extent cx="1828800" cy="0"/>
                <wp:effectExtent l="0" t="0" r="0" b="0"/>
                <wp:wrapTopAndBottom/>
                <wp:docPr id="31"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CFF2CD" id="Line 30" o:spid="_x0000_s1026" style="position:absolute;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1.65pt" to="200.6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" strokeweight=".48pt">
                <w10:wrap type="topAndBottom" anchorx="page"/>
              </v:line>
            </w:pict>
          </mc:Fallback>
        </mc:AlternateContent>
      </w:r>
    </w:p>
    <w:p w:rsidR="00AC683C" w:rsidRDefault="00FD2153">
      <w:pPr>
        <w:pStyle w:val="Textindependent"/>
        <w:spacing w:before="99"/>
        <w:ind w:right="408" w:hanging="1"/>
      </w:pPr>
      <w:bookmarkStart w:id="20" w:name="_bookmark10"/>
      <w:bookmarkEnd w:id="20"/>
      <w:r>
        <w:rPr>
          <w:position w:val="10"/>
          <w:sz w:val="13"/>
        </w:rPr>
        <w:t xml:space="preserve">1 </w:t>
      </w:r>
      <w:r>
        <w:rPr>
          <w:color w:val="212121"/>
        </w:rPr>
        <w:t xml:space="preserve">Confidential documents should be submitted to the CoreTrustSeal Secretariat via </w:t>
      </w:r>
      <w:hyperlink r:id="rId13">
        <w:r>
          <w:rPr>
            <w:color w:val="1155CC"/>
            <w:u w:val="single" w:color="1155CC"/>
          </w:rPr>
          <w:t>info@coretrustseal.org</w:t>
        </w:r>
      </w:hyperlink>
    </w:p>
    <w:p w:rsidR="00AC683C" w:rsidRDefault="00AC683C">
      <w:pPr>
        <w:sectPr w:rsidR="00AC683C">
          <w:pgSz w:w="11910" w:h="16840"/>
          <w:pgMar w:top="1020" w:right="900" w:bottom="1060" w:left="900" w:header="724" w:footer="860" w:gutter="0"/>
          <w:cols w:space="720"/>
        </w:sectPr>
      </w:pPr>
    </w:p>
    <w:p w:rsidR="00AC683C" w:rsidRDefault="00FD2153">
      <w:pPr>
        <w:spacing w:before="90" w:line="348" w:lineRule="auto"/>
        <w:ind w:left="232" w:right="6606"/>
        <w:rPr>
          <w:b/>
          <w:sz w:val="26"/>
        </w:rPr>
      </w:pPr>
      <w:bookmarkStart w:id="21" w:name="Requirements"/>
      <w:bookmarkStart w:id="22" w:name="_bookmark11"/>
      <w:bookmarkEnd w:id="21"/>
      <w:bookmarkEnd w:id="22"/>
      <w:r>
        <w:rPr>
          <w:b/>
          <w:color w:val="ED7D31"/>
          <w:sz w:val="30"/>
        </w:rPr>
        <w:lastRenderedPageBreak/>
        <w:t>Requirements</w:t>
      </w:r>
      <w:bookmarkStart w:id="23" w:name="Background_Information"/>
      <w:bookmarkStart w:id="24" w:name="_bookmark12"/>
      <w:bookmarkEnd w:id="23"/>
      <w:bookmarkEnd w:id="24"/>
      <w:r>
        <w:rPr>
          <w:b/>
          <w:color w:val="ED7D31"/>
          <w:sz w:val="30"/>
        </w:rPr>
        <w:t xml:space="preserve"> </w:t>
      </w:r>
      <w:r>
        <w:rPr>
          <w:b/>
          <w:sz w:val="28"/>
        </w:rPr>
        <w:t>Background Information</w:t>
      </w:r>
      <w:bookmarkStart w:id="25" w:name="Context"/>
      <w:bookmarkStart w:id="26" w:name="_bookmark13"/>
      <w:bookmarkEnd w:id="25"/>
      <w:bookmarkEnd w:id="26"/>
      <w:r>
        <w:rPr>
          <w:b/>
          <w:sz w:val="28"/>
        </w:rPr>
        <w:t xml:space="preserve"> </w:t>
      </w:r>
      <w:r>
        <w:rPr>
          <w:b/>
          <w:sz w:val="26"/>
        </w:rPr>
        <w:t>Context</w:t>
      </w:r>
    </w:p>
    <w:p w:rsidR="00AC683C" w:rsidRDefault="00FD2153">
      <w:pPr>
        <w:pStyle w:val="Ttol3"/>
        <w:spacing w:before="0" w:line="240" w:lineRule="exact"/>
        <w:rPr>
          <w:rFonts w:ascii="Arial"/>
        </w:rPr>
      </w:pPr>
      <w:r>
        <w:rPr>
          <w:rFonts w:ascii="Arial"/>
        </w:rPr>
        <w:t>R0. Please provide context for your repository.</w:t>
      </w:r>
    </w:p>
    <w:p w:rsidR="000A2A0E" w:rsidRDefault="000A2A0E">
      <w:pPr>
        <w:pStyle w:val="Ttol3"/>
        <w:spacing w:before="0" w:line="240" w:lineRule="exact"/>
        <w:rPr>
          <w:rFonts w:ascii="Arial"/>
        </w:rPr>
      </w:pPr>
    </w:p>
    <w:p w:rsidR="000A2A0E" w:rsidRDefault="000A2A0E">
      <w:pPr>
        <w:pStyle w:val="Ttol3"/>
        <w:spacing w:before="0" w:line="240" w:lineRule="exact"/>
        <w:rPr>
          <w:rFonts w:ascii="Arial"/>
        </w:rPr>
      </w:pPr>
      <w:hyperlink r:id="rId14" w:history="1">
        <w:r w:rsidRPr="007750C1">
          <w:rPr>
            <w:rStyle w:val="Enlla"/>
            <w:rFonts w:ascii="Arial"/>
          </w:rPr>
          <w:t>https://www.uab.cat/web/our-collections/uab-digital-repository-of-documents-1345777080660.html</w:t>
        </w:r>
      </w:hyperlink>
    </w:p>
    <w:p w:rsidR="000A2A0E" w:rsidRDefault="000A2A0E">
      <w:pPr>
        <w:pStyle w:val="Ttol3"/>
        <w:spacing w:before="0" w:line="240" w:lineRule="exact"/>
        <w:rPr>
          <w:rFonts w:ascii="Arial"/>
        </w:rPr>
      </w:pPr>
    </w:p>
    <w:p w:rsidR="00AC683C" w:rsidRPr="000A2A0E" w:rsidRDefault="00FD2153" w:rsidP="000A2A0E">
      <w:pPr>
        <w:pStyle w:val="Ttol3"/>
        <w:numPr>
          <w:ilvl w:val="1"/>
          <w:numId w:val="6"/>
        </w:numPr>
        <w:tabs>
          <w:tab w:val="left" w:pos="1312"/>
          <w:tab w:val="left" w:pos="1313"/>
        </w:tabs>
        <w:spacing w:before="0" w:line="252" w:lineRule="exact"/>
        <w:rPr>
          <w:rFonts w:ascii="Arial" w:hAnsi="Arial"/>
        </w:rPr>
      </w:pPr>
      <w:r>
        <w:rPr>
          <w:rFonts w:ascii="Arial" w:hAnsi="Arial"/>
          <w:color w:val="212121"/>
        </w:rPr>
        <w:t>Institutional</w:t>
      </w:r>
      <w:r>
        <w:rPr>
          <w:rFonts w:ascii="Arial" w:hAnsi="Arial"/>
          <w:color w:val="212121"/>
          <w:spacing w:val="1"/>
        </w:rPr>
        <w:t xml:space="preserve"> </w:t>
      </w:r>
      <w:r>
        <w:rPr>
          <w:rFonts w:ascii="Arial" w:hAnsi="Arial"/>
          <w:color w:val="212121"/>
        </w:rPr>
        <w:t>repository</w:t>
      </w:r>
      <w:r w:rsidR="000A2A0E">
        <w:rPr>
          <w:rFonts w:ascii="Arial" w:hAnsi="Arial"/>
          <w:color w:val="212121"/>
        </w:rPr>
        <w:t xml:space="preserve"> ….. </w:t>
      </w:r>
      <w:r w:rsidR="000A2A0E" w:rsidRPr="000A2A0E">
        <w:rPr>
          <w:rFonts w:ascii="Arial" w:hAnsi="Arial"/>
          <w:color w:val="212121"/>
        </w:rPr>
        <w:t>https://www.uab.cat</w:t>
      </w:r>
    </w:p>
    <w:p w:rsidR="000A2A0E" w:rsidRPr="000A2A0E" w:rsidRDefault="000A2A0E">
      <w:pPr>
        <w:pStyle w:val="Ttol3"/>
        <w:numPr>
          <w:ilvl w:val="1"/>
          <w:numId w:val="6"/>
        </w:numPr>
        <w:tabs>
          <w:tab w:val="left" w:pos="1312"/>
          <w:tab w:val="left" w:pos="1313"/>
        </w:tabs>
        <w:spacing w:before="0" w:line="252" w:lineRule="exact"/>
        <w:ind w:hanging="361"/>
        <w:rPr>
          <w:rFonts w:ascii="Arial" w:hAnsi="Arial"/>
        </w:rPr>
      </w:pPr>
      <w:r>
        <w:t xml:space="preserve">The </w:t>
      </w:r>
      <w:hyperlink r:id="rId15" w:tgtFrame="_blank" w:history="1">
        <w:r>
          <w:rPr>
            <w:rStyle w:val="Enlla"/>
          </w:rPr>
          <w:t>DDD</w:t>
        </w:r>
      </w:hyperlink>
      <w:r>
        <w:t>, the UAB Digital Repository of Documents, is the tool that collects, manages, disseminates and preserves the scientific, educational and institutional production of the University. It also gathers digital documents that are part of or complement UAB libraries collections. The DDD repository shows an organized, open access and interoperable collection.</w:t>
      </w:r>
    </w:p>
    <w:p w:rsidR="000A2A0E" w:rsidRDefault="000A2A0E">
      <w:pPr>
        <w:pStyle w:val="Ttol3"/>
        <w:numPr>
          <w:ilvl w:val="1"/>
          <w:numId w:val="6"/>
        </w:numPr>
        <w:tabs>
          <w:tab w:val="left" w:pos="1312"/>
          <w:tab w:val="left" w:pos="1313"/>
        </w:tabs>
        <w:spacing w:before="0" w:line="252" w:lineRule="exact"/>
        <w:ind w:hanging="361"/>
        <w:rPr>
          <w:rFonts w:ascii="Arial" w:hAnsi="Arial"/>
        </w:rPr>
      </w:pPr>
      <w:r>
        <w:t>Provide the University community with a platform to publish its documents in full text and open access.</w:t>
      </w:r>
    </w:p>
    <w:p w:rsidR="00AC683C" w:rsidRPr="000A2A0E" w:rsidRDefault="00FD2153" w:rsidP="000A2A0E">
      <w:pPr>
        <w:pStyle w:val="Ttol4"/>
        <w:numPr>
          <w:ilvl w:val="0"/>
          <w:numId w:val="5"/>
        </w:numPr>
        <w:tabs>
          <w:tab w:val="left" w:pos="418"/>
        </w:tabs>
        <w:ind w:hanging="186"/>
      </w:pPr>
      <w:r>
        <w:rPr>
          <w:color w:val="212121"/>
        </w:rPr>
        <w:t>Level of Curation Perf</w:t>
      </w:r>
      <w:r w:rsidR="000A2A0E">
        <w:rPr>
          <w:color w:val="212121"/>
        </w:rPr>
        <w:t xml:space="preserve">ormed. </w:t>
      </w:r>
      <w:r w:rsidRPr="000A2A0E">
        <w:rPr>
          <w:color w:val="212121"/>
        </w:rPr>
        <w:t>Data-level curation – as in C above, but with additional editing of deposited data for accuracy</w:t>
      </w:r>
    </w:p>
    <w:p w:rsidR="00AC683C" w:rsidRDefault="00FD2153">
      <w:pPr>
        <w:pStyle w:val="Ttol3"/>
        <w:spacing w:before="181"/>
        <w:rPr>
          <w:rFonts w:ascii="Arial"/>
        </w:rPr>
      </w:pPr>
      <w:r>
        <w:rPr>
          <w:rFonts w:ascii="Arial"/>
        </w:rPr>
        <w:t>C</w:t>
      </w:r>
      <w:r>
        <w:rPr>
          <w:rFonts w:ascii="Arial"/>
        </w:rPr>
        <w:t>omments</w:t>
      </w:r>
    </w:p>
    <w:p w:rsidR="00AC683C" w:rsidRDefault="00FD2153">
      <w:pPr>
        <w:pStyle w:val="Ttol4"/>
        <w:numPr>
          <w:ilvl w:val="0"/>
          <w:numId w:val="5"/>
        </w:numPr>
        <w:tabs>
          <w:tab w:val="left" w:pos="418"/>
        </w:tabs>
        <w:spacing w:before="183"/>
        <w:ind w:hanging="186"/>
      </w:pPr>
      <w:r>
        <w:rPr>
          <w:color w:val="212121"/>
        </w:rPr>
        <w:t>Insource/Outsource Partners</w:t>
      </w:r>
      <w:r w:rsidR="000A2A0E">
        <w:rPr>
          <w:color w:val="212121"/>
        </w:rPr>
        <w:t xml:space="preserve"> (CSUC??? FECYT??)</w:t>
      </w:r>
      <w:r>
        <w:rPr>
          <w:color w:val="212121"/>
        </w:rPr>
        <w:t>. If applicable, please list</w:t>
      </w:r>
      <w:r>
        <w:rPr>
          <w:color w:val="212121"/>
          <w:spacing w:val="-9"/>
        </w:rPr>
        <w:t xml:space="preserve"> </w:t>
      </w:r>
      <w:r>
        <w:rPr>
          <w:color w:val="212121"/>
        </w:rPr>
        <w:t>them.</w:t>
      </w:r>
    </w:p>
    <w:p w:rsidR="000A2A0E" w:rsidRDefault="000A2A0E">
      <w:pPr>
        <w:pStyle w:val="Ttol3"/>
        <w:spacing w:before="179"/>
        <w:rPr>
          <w:rFonts w:ascii="Arial"/>
          <w:color w:val="538135"/>
        </w:rPr>
      </w:pPr>
    </w:p>
    <w:p w:rsidR="00AC683C" w:rsidRDefault="00FD2153">
      <w:pPr>
        <w:pStyle w:val="Ttol3"/>
        <w:spacing w:before="179"/>
        <w:rPr>
          <w:rFonts w:ascii="Arial"/>
        </w:rPr>
      </w:pPr>
      <w:r>
        <w:rPr>
          <w:rFonts w:ascii="Arial"/>
          <w:color w:val="538135"/>
        </w:rPr>
        <w:t>Response</w:t>
      </w:r>
    </w:p>
    <w:p w:rsidR="00AC683C" w:rsidRDefault="00FD2153">
      <w:pPr>
        <w:pStyle w:val="Ttol2"/>
        <w:spacing w:before="179"/>
        <w:rPr>
          <w:sz w:val="22"/>
        </w:rPr>
      </w:pPr>
      <w:r>
        <w:t>Guidance</w:t>
      </w:r>
      <w:r>
        <w:rPr>
          <w:sz w:val="22"/>
        </w:rPr>
        <w:t>:</w:t>
      </w:r>
    </w:p>
    <w:p w:rsidR="00AC683C" w:rsidRDefault="00FD2153">
      <w:pPr>
        <w:pStyle w:val="Textindependent"/>
        <w:spacing w:before="182"/>
        <w:ind w:right="478"/>
      </w:pPr>
      <w:r>
        <w:t>The information in this section provides the background and co</w:t>
      </w:r>
      <w:bookmarkStart w:id="27" w:name="_GoBack"/>
      <w:bookmarkEnd w:id="27"/>
      <w:r>
        <w:t>ntext needed by reviewers to fully assess the responses to the other Requirements. It is therefore of vital importance to the entire application that detailed resp</w:t>
      </w:r>
      <w:r>
        <w:t>onses are given to each question. Please select from among the options and provide details for the items that appear in the Context Requirement.</w:t>
      </w:r>
    </w:p>
    <w:p w:rsidR="00AC683C" w:rsidRDefault="00FD2153">
      <w:pPr>
        <w:pStyle w:val="Pargrafdellista"/>
        <w:numPr>
          <w:ilvl w:val="0"/>
          <w:numId w:val="3"/>
        </w:numPr>
        <w:tabs>
          <w:tab w:val="left" w:pos="565"/>
        </w:tabs>
        <w:spacing w:before="181"/>
        <w:ind w:right="817" w:firstLine="0"/>
      </w:pPr>
      <w:r>
        <w:rPr>
          <w:b/>
          <w:i/>
        </w:rPr>
        <w:t>Repository Type</w:t>
      </w:r>
      <w:r>
        <w:t>. This item will help reviewers understand what function your repository performs. Choose the best match for your repository type (select all that apply). If none of the categories is appropriate, feel free to provide another descriptive type. You may also</w:t>
      </w:r>
      <w:r>
        <w:t xml:space="preserve"> provide further details to help the reviewer understand your repository</w:t>
      </w:r>
      <w:r>
        <w:rPr>
          <w:spacing w:val="-12"/>
        </w:rPr>
        <w:t xml:space="preserve"> </w:t>
      </w:r>
      <w:r>
        <w:t>type.</w:t>
      </w:r>
    </w:p>
    <w:p w:rsidR="00AC683C" w:rsidRDefault="00FD2153">
      <w:pPr>
        <w:pStyle w:val="Pargrafdellista"/>
        <w:numPr>
          <w:ilvl w:val="0"/>
          <w:numId w:val="3"/>
        </w:numPr>
        <w:tabs>
          <w:tab w:val="left" w:pos="565"/>
        </w:tabs>
        <w:spacing w:before="178"/>
        <w:ind w:right="710" w:firstLine="0"/>
      </w:pPr>
      <w:r>
        <w:rPr>
          <w:b/>
          <w:i/>
        </w:rPr>
        <w:t>Brief Description of Repository</w:t>
      </w:r>
      <w:r>
        <w:t>. Provide a short overview of the repository; in particular, please add information on the type of data accepted by the repository (i.e., the scop</w:t>
      </w:r>
      <w:r>
        <w:t>e of its collection). If the repository has outsource partners, is part of a network, or of a parent organization, the response should ideally include a diagram and description of the overarching organizational</w:t>
      </w:r>
      <w:r>
        <w:rPr>
          <w:spacing w:val="-1"/>
        </w:rPr>
        <w:t xml:space="preserve"> </w:t>
      </w:r>
      <w:r>
        <w:t>structure.</w:t>
      </w:r>
    </w:p>
    <w:p w:rsidR="00AC683C" w:rsidRDefault="00FD2153">
      <w:pPr>
        <w:pStyle w:val="Pargrafdellista"/>
        <w:numPr>
          <w:ilvl w:val="0"/>
          <w:numId w:val="3"/>
        </w:numPr>
        <w:tabs>
          <w:tab w:val="left" w:pos="565"/>
        </w:tabs>
        <w:spacing w:before="180"/>
        <w:ind w:left="564" w:hanging="333"/>
      </w:pPr>
      <w:r>
        <w:rPr>
          <w:b/>
          <w:i/>
        </w:rPr>
        <w:t>Designated Community</w:t>
      </w:r>
      <w:r>
        <w:t>. A clear defi</w:t>
      </w:r>
      <w:r>
        <w:t>nition of the Designated Community demonstrates</w:t>
      </w:r>
      <w:r>
        <w:rPr>
          <w:spacing w:val="-28"/>
        </w:rPr>
        <w:t xml:space="preserve"> </w:t>
      </w:r>
      <w:r>
        <w:t>that</w:t>
      </w:r>
    </w:p>
    <w:p w:rsidR="00AC683C" w:rsidRDefault="00AC683C">
      <w:pPr>
        <w:sectPr w:rsidR="00AC683C">
          <w:pgSz w:w="11910" w:h="16840"/>
          <w:pgMar w:top="1020" w:right="900" w:bottom="1060" w:left="900" w:header="724" w:footer="860" w:gutter="0"/>
          <w:cols w:space="720"/>
        </w:sectPr>
      </w:pPr>
    </w:p>
    <w:p w:rsidR="00AC683C" w:rsidRDefault="00FD2153">
      <w:pPr>
        <w:pStyle w:val="Textindependent"/>
        <w:spacing w:before="93"/>
        <w:ind w:right="268"/>
      </w:pPr>
      <w:r>
        <w:lastRenderedPageBreak/>
        <w:t>the applicant understands the scope, knowledge base, and methodologies—including preferred software/formats—of the user community or communities they are targeting. Please make sure that the response is sufficiently specific to enable reviewers to assess t</w:t>
      </w:r>
      <w:r>
        <w:t>he adequacy of the curation and preservation measures described throughout the</w:t>
      </w:r>
      <w:r>
        <w:rPr>
          <w:spacing w:val="-6"/>
        </w:rPr>
        <w:t xml:space="preserve"> </w:t>
      </w:r>
      <w:r>
        <w:t>application.</w:t>
      </w:r>
    </w:p>
    <w:p w:rsidR="00AC683C" w:rsidRDefault="00FD2153">
      <w:pPr>
        <w:pStyle w:val="Pargrafdellista"/>
        <w:numPr>
          <w:ilvl w:val="0"/>
          <w:numId w:val="3"/>
        </w:numPr>
        <w:tabs>
          <w:tab w:val="left" w:pos="564"/>
        </w:tabs>
        <w:spacing w:before="180"/>
        <w:ind w:right="247" w:firstLine="0"/>
      </w:pPr>
      <w:r>
        <w:rPr>
          <w:b/>
          <w:i/>
        </w:rPr>
        <w:t>Level of Curation</w:t>
      </w:r>
      <w:r>
        <w:t>. This item is intended to elicit whether the repository distributes its content to data consumers without any changes, or whether the repository a</w:t>
      </w:r>
      <w:r>
        <w:t>dds value by enhancing the content in some way. All levels of curation assume (1) initial deposits are retained unchanged and that edits are only made on copies of those originals, and (2) metadata that enables the Designated Community to understand and us</w:t>
      </w:r>
      <w:r>
        <w:t>e the data independently (i.e., without having to consult the original creator) is present at deposit or added by the repository. Annotations/edits must fall within the terms of the license agreed with the data producer and be clearly within the skillset o</w:t>
      </w:r>
      <w:r>
        <w:t xml:space="preserve">f those undertaking the curation. Thus, the repository will be expected to demonstrate that any such annotations/edits are undertaken and documented by appropriate experts and that the integrity of all original copies is maintained. Knowing this will help </w:t>
      </w:r>
      <w:r>
        <w:t>reviewers in assessing other certification Requirements. Further details can be added that would help to understand the levels of curation you</w:t>
      </w:r>
      <w:r>
        <w:rPr>
          <w:spacing w:val="3"/>
        </w:rPr>
        <w:t xml:space="preserve"> </w:t>
      </w:r>
      <w:r>
        <w:t>undertake.</w:t>
      </w:r>
    </w:p>
    <w:p w:rsidR="00AC683C" w:rsidRDefault="00FD2153">
      <w:pPr>
        <w:pStyle w:val="Pargrafdellista"/>
        <w:numPr>
          <w:ilvl w:val="0"/>
          <w:numId w:val="3"/>
        </w:numPr>
        <w:tabs>
          <w:tab w:val="left" w:pos="564"/>
        </w:tabs>
        <w:spacing w:before="180"/>
        <w:ind w:right="379" w:firstLine="0"/>
      </w:pPr>
      <w:r>
        <w:rPr>
          <w:b/>
          <w:i/>
        </w:rPr>
        <w:t>Insource/Outsource Partners</w:t>
      </w:r>
      <w:r>
        <w:t>. Please provide a list of Partners that your organization works with, desc</w:t>
      </w:r>
      <w:r>
        <w:t>ribing the nature of the relationship (organizational, contractual, etc.), and whether the Partner has undertaken any trustworthy repository assessment. If a function or supporting evidence is not under the direct control of the applicant then it falls int</w:t>
      </w:r>
      <w:r>
        <w:t>o this category. This may be with a host organization or other ‘insourcing’ relationship, or through outsourcing or other dependency on a third-party. Such relationships may include, but are not limited to: any services provided by an institution you are p</w:t>
      </w:r>
      <w:r>
        <w:t>art of, storage provided by others as part of multicopy redundancy, or membership in organizations that may undertake stewardship of your data collection when a business continuity issue arises. Moreover, please list the certification requirements for whic</w:t>
      </w:r>
      <w:r>
        <w:t>h the Partner provides all, or part of, the relevant functionality/service, including any contracts or Service Level Agreements in place. Because outsourcing will almost always be partial, you will still need to provide appropriate evidence for certificati</w:t>
      </w:r>
      <w:r>
        <w:t>on Requirements that are not outsourced and for the parts of the data lifecycle that you control. Qualifications/certifications—including, but not limited to, the CoreTrustSeal certification (and its predecessors)—are preferred for outsource partners. Howe</w:t>
      </w:r>
      <w:r>
        <w:t xml:space="preserve">ver, it is not a necessity for them to be certified. </w:t>
      </w:r>
      <w:r>
        <w:rPr>
          <w:spacing w:val="3"/>
        </w:rPr>
        <w:t xml:space="preserve">We </w:t>
      </w:r>
      <w:r>
        <w:t>understand that this can be a complex area to define and describe, but such details are essential to ensure a comprehensive review</w:t>
      </w:r>
      <w:r>
        <w:rPr>
          <w:spacing w:val="-9"/>
        </w:rPr>
        <w:t xml:space="preserve"> </w:t>
      </w:r>
      <w:r>
        <w:t>process.</w:t>
      </w:r>
    </w:p>
    <w:p w:rsidR="00AC683C" w:rsidRDefault="00FD2153">
      <w:pPr>
        <w:pStyle w:val="Pargrafdellista"/>
        <w:numPr>
          <w:ilvl w:val="0"/>
          <w:numId w:val="3"/>
        </w:numPr>
        <w:tabs>
          <w:tab w:val="left" w:pos="564"/>
        </w:tabs>
        <w:spacing w:before="180"/>
        <w:ind w:right="232" w:firstLine="0"/>
      </w:pPr>
      <w:r>
        <w:rPr>
          <w:b/>
          <w:i/>
        </w:rPr>
        <w:t xml:space="preserve">Summary of Significant Changes Since Last Application. </w:t>
      </w:r>
      <w:r>
        <w:t>CoreT</w:t>
      </w:r>
      <w:r>
        <w:t>rustSeal certification has an expectation of continuous improvement. Repositories undergoing recertification should highlight briefly to the reviewers any significant changes in technical systems, Designated Community, funding, and so on during the previou</w:t>
      </w:r>
      <w:r>
        <w:t>s three years. In doing so, please refer to any comments given to you by the reviewers of your previous CoreTrustSeal application. Detailed information on a change should be added to the appropriate</w:t>
      </w:r>
      <w:r>
        <w:rPr>
          <w:spacing w:val="-12"/>
        </w:rPr>
        <w:t xml:space="preserve"> </w:t>
      </w:r>
      <w:r>
        <w:t>Requirement.</w:t>
      </w:r>
    </w:p>
    <w:p w:rsidR="00AC683C" w:rsidRDefault="00FD2153">
      <w:pPr>
        <w:pStyle w:val="Pargrafdellista"/>
        <w:numPr>
          <w:ilvl w:val="0"/>
          <w:numId w:val="3"/>
        </w:numPr>
        <w:tabs>
          <w:tab w:val="left" w:pos="564"/>
        </w:tabs>
        <w:spacing w:before="178"/>
        <w:ind w:right="331" w:firstLine="0"/>
      </w:pPr>
      <w:r>
        <w:rPr>
          <w:b/>
          <w:i/>
        </w:rPr>
        <w:t>Other Relevant Information</w:t>
      </w:r>
      <w:r>
        <w:t>. The repository m</w:t>
      </w:r>
      <w:r>
        <w:t>ay wish to add extra contextual information that is not covered in the Requirements but that may be helpful to the reviewers in making their assessment. For example, you might</w:t>
      </w:r>
      <w:r>
        <w:rPr>
          <w:spacing w:val="1"/>
        </w:rPr>
        <w:t xml:space="preserve"> </w:t>
      </w:r>
      <w:r>
        <w:t>describe:</w:t>
      </w:r>
    </w:p>
    <w:p w:rsidR="00AC683C" w:rsidRDefault="00FD2153">
      <w:pPr>
        <w:pStyle w:val="Pargrafdellista"/>
        <w:numPr>
          <w:ilvl w:val="1"/>
          <w:numId w:val="3"/>
        </w:numPr>
        <w:tabs>
          <w:tab w:val="left" w:pos="952"/>
          <w:tab w:val="left" w:pos="954"/>
        </w:tabs>
        <w:spacing w:before="182" w:line="252" w:lineRule="exact"/>
        <w:ind w:hanging="362"/>
      </w:pPr>
      <w:r>
        <w:t>The usage and impact of the repository data holdings (citations, use b</w:t>
      </w:r>
      <w:r>
        <w:t>y other projects,</w:t>
      </w:r>
      <w:r>
        <w:rPr>
          <w:spacing w:val="-33"/>
        </w:rPr>
        <w:t xml:space="preserve"> </w:t>
      </w:r>
      <w:r>
        <w:t>etc.).</w:t>
      </w:r>
    </w:p>
    <w:p w:rsidR="00AC683C" w:rsidRDefault="00FD2153">
      <w:pPr>
        <w:pStyle w:val="Pargrafdellista"/>
        <w:numPr>
          <w:ilvl w:val="1"/>
          <w:numId w:val="3"/>
        </w:numPr>
        <w:tabs>
          <w:tab w:val="left" w:pos="952"/>
          <w:tab w:val="left" w:pos="954"/>
        </w:tabs>
        <w:spacing w:line="252" w:lineRule="exact"/>
        <w:ind w:hanging="362"/>
      </w:pPr>
      <w:r>
        <w:t>A national, regional, or global role that the repository</w:t>
      </w:r>
      <w:r>
        <w:rPr>
          <w:spacing w:val="-9"/>
        </w:rPr>
        <w:t xml:space="preserve"> </w:t>
      </w:r>
      <w:r>
        <w:t>serves.</w:t>
      </w:r>
    </w:p>
    <w:p w:rsidR="00AC683C" w:rsidRDefault="00FD2153">
      <w:pPr>
        <w:pStyle w:val="Pargrafdellista"/>
        <w:numPr>
          <w:ilvl w:val="1"/>
          <w:numId w:val="3"/>
        </w:numPr>
        <w:tabs>
          <w:tab w:val="left" w:pos="953"/>
          <w:tab w:val="left" w:pos="954"/>
        </w:tabs>
        <w:spacing w:line="252" w:lineRule="exact"/>
      </w:pPr>
      <w:r>
        <w:t>Any global cluster or network organization that the repository belongs</w:t>
      </w:r>
      <w:r>
        <w:rPr>
          <w:spacing w:val="-15"/>
        </w:rPr>
        <w:t xml:space="preserve"> </w:t>
      </w:r>
      <w:r>
        <w:t>to.</w:t>
      </w:r>
    </w:p>
    <w:p w:rsidR="00AC683C" w:rsidRDefault="00AC683C">
      <w:pPr>
        <w:pStyle w:val="Textindependent"/>
        <w:ind w:left="0"/>
        <w:rPr>
          <w:sz w:val="24"/>
        </w:rPr>
      </w:pPr>
    </w:p>
    <w:p w:rsidR="00AC683C" w:rsidRDefault="00AC683C">
      <w:pPr>
        <w:pStyle w:val="Textindependent"/>
        <w:spacing w:before="2"/>
        <w:ind w:left="0"/>
        <w:rPr>
          <w:sz w:val="26"/>
        </w:rPr>
      </w:pPr>
    </w:p>
    <w:p w:rsidR="00AC683C" w:rsidRDefault="000A2A0E">
      <w:pPr>
        <w:pStyle w:val="Ttol2"/>
        <w:spacing w:before="0"/>
      </w:pPr>
      <w:r>
        <w:rPr>
          <w:noProof/>
          <w:lang w:val="es-ES" w:eastAsia="es-ES" w:bidi="ar-SA"/>
        </w:rPr>
        <mc:AlternateContent>
          <mc:Choice Requires="wpg">
            <w:drawing>
              <wp:anchor distT="0" distB="0" distL="0" distR="0" simplePos="0" relativeHeight="251673600" behindDoc="1" locked="0" layoutInCell="1" allowOverlap="1">
                <wp:simplePos x="0" y="0"/>
                <wp:positionH relativeFrom="page">
                  <wp:posOffset>644525</wp:posOffset>
                </wp:positionH>
                <wp:positionV relativeFrom="paragraph">
                  <wp:posOffset>254000</wp:posOffset>
                </wp:positionV>
                <wp:extent cx="6268720" cy="615950"/>
                <wp:effectExtent l="0" t="0" r="0" b="0"/>
                <wp:wrapTopAndBottom/>
                <wp:docPr id="26"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8720" cy="615950"/>
                          <a:chOff x="1015" y="400"/>
                          <a:chExt cx="9872" cy="970"/>
                        </a:xfrm>
                      </wpg:grpSpPr>
                      <wps:wsp>
                        <wps:cNvPr id="27" name="Line 29"/>
                        <wps:cNvCnPr>
                          <a:cxnSpLocks noChangeShapeType="1"/>
                        </wps:cNvCnPr>
                        <wps:spPr bwMode="auto">
                          <a:xfrm>
                            <a:off x="1025" y="405"/>
                            <a:ext cx="9852" cy="0"/>
                          </a:xfrm>
                          <a:prstGeom prst="line">
                            <a:avLst/>
                          </a:prstGeom>
                          <a:noFill/>
                          <a:ln w="6109">
                            <a:solidFill>
                              <a:srgbClr val="2E75B5"/>
                            </a:solidFill>
                            <a:prstDash val="solid"/>
                            <a:round/>
                            <a:headEnd/>
                            <a:tailEnd/>
                          </a:ln>
                          <a:extLst>
                            <a:ext uri="{909E8E84-426E-40DD-AFC4-6F175D3DCCD1}">
                              <a14:hiddenFill xmlns:a14="http://schemas.microsoft.com/office/drawing/2010/main">
                                <a:noFill/>
                              </a14:hiddenFill>
                            </a:ext>
                          </a:extLst>
                        </wps:spPr>
                        <wps:bodyPr/>
                      </wps:wsp>
                      <wps:wsp>
                        <wps:cNvPr id="28" name="Line 28"/>
                        <wps:cNvCnPr>
                          <a:cxnSpLocks noChangeShapeType="1"/>
                        </wps:cNvCnPr>
                        <wps:spPr bwMode="auto">
                          <a:xfrm>
                            <a:off x="1020" y="400"/>
                            <a:ext cx="0" cy="970"/>
                          </a:xfrm>
                          <a:prstGeom prst="line">
                            <a:avLst/>
                          </a:prstGeom>
                          <a:noFill/>
                          <a:ln w="6096">
                            <a:solidFill>
                              <a:srgbClr val="2E75B5"/>
                            </a:solidFill>
                            <a:prstDash val="solid"/>
                            <a:round/>
                            <a:headEnd/>
                            <a:tailEnd/>
                          </a:ln>
                          <a:extLst>
                            <a:ext uri="{909E8E84-426E-40DD-AFC4-6F175D3DCCD1}">
                              <a14:hiddenFill xmlns:a14="http://schemas.microsoft.com/office/drawing/2010/main">
                                <a:noFill/>
                              </a14:hiddenFill>
                            </a:ext>
                          </a:extLst>
                        </wps:spPr>
                        <wps:bodyPr/>
                      </wps:wsp>
                      <wps:wsp>
                        <wps:cNvPr id="29" name="Line 27"/>
                        <wps:cNvCnPr>
                          <a:cxnSpLocks noChangeShapeType="1"/>
                        </wps:cNvCnPr>
                        <wps:spPr bwMode="auto">
                          <a:xfrm>
                            <a:off x="10882" y="400"/>
                            <a:ext cx="0" cy="970"/>
                          </a:xfrm>
                          <a:prstGeom prst="line">
                            <a:avLst/>
                          </a:prstGeom>
                          <a:noFill/>
                          <a:ln w="6096">
                            <a:solidFill>
                              <a:srgbClr val="2E75B5"/>
                            </a:solidFill>
                            <a:prstDash val="solid"/>
                            <a:round/>
                            <a:headEnd/>
                            <a:tailEnd/>
                          </a:ln>
                          <a:extLst>
                            <a:ext uri="{909E8E84-426E-40DD-AFC4-6F175D3DCCD1}">
                              <a14:hiddenFill xmlns:a14="http://schemas.microsoft.com/office/drawing/2010/main">
                                <a:noFill/>
                              </a14:hiddenFill>
                            </a:ext>
                          </a:extLst>
                        </wps:spPr>
                        <wps:bodyPr/>
                      </wps:wsp>
                      <wps:wsp>
                        <wps:cNvPr id="30" name="Text Box 26"/>
                        <wps:cNvSpPr txBox="1">
                          <a:spLocks noChangeArrowheads="1"/>
                        </wps:cNvSpPr>
                        <wps:spPr bwMode="auto">
                          <a:xfrm>
                            <a:off x="1015" y="400"/>
                            <a:ext cx="9872" cy="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683C" w:rsidRDefault="00FD2153">
                              <w:pPr>
                                <w:spacing w:before="24"/>
                                <w:ind w:left="117"/>
                                <w:rPr>
                                  <w:b/>
                                </w:rPr>
                              </w:pPr>
                              <w:r>
                                <w:rPr>
                                  <w:b/>
                                  <w:color w:val="2E75B5"/>
                                </w:rPr>
                                <w:t>Repository Type &amp; Brief Description of Repository</w:t>
                              </w:r>
                            </w:p>
                            <w:p w:rsidR="00AC683C" w:rsidRDefault="00FD2153">
                              <w:pPr>
                                <w:spacing w:before="184"/>
                                <w:ind w:left="117" w:right="184"/>
                              </w:pPr>
                              <w:r>
                                <w:rPr>
                                  <w:color w:val="2E75B5"/>
                                </w:rPr>
                                <w:t xml:space="preserve">Selection of more than one repository type should be supported by an explanation in </w:t>
                              </w:r>
                              <w:r>
                                <w:rPr>
                                  <w:i/>
                                  <w:color w:val="2E75B5"/>
                                </w:rPr>
                                <w:t xml:space="preserve">Brief Description of Repository </w:t>
                              </w:r>
                              <w:r>
                                <w:rPr>
                                  <w:color w:val="2E75B5"/>
                                </w:rPr>
                                <w:t>of how these multiple roles are fulfilled. This explanation could reference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5" o:spid="_x0000_s1046" style="position:absolute;left:0;text-align:left;margin-left:50.75pt;margin-top:20pt;width:493.6pt;height:48.5pt;z-index:-251642880;mso-wrap-distance-left:0;mso-wrap-distance-right:0;mso-position-horizontal-relative:page;mso-position-vertical-relative:text" coordorigin="1015,400" coordsize="987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">
                <v:line id="Line 29" o:spid="_x0000_s1047" style="position:absolute;visibility:visible;mso-wrap-style:square" from="1025,405" to="10877,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" strokecolor="#2e75b5" strokeweight=".16969mm"/>
                <v:line id="Line 28" o:spid="_x0000_s1048" style="position:absolute;visibility:visible;mso-wrap-style:square" from="1020,400" to="1020,1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" strokecolor="#2e75b5" strokeweight=".48pt"/>
                <v:line id="Line 27" o:spid="_x0000_s1049" style="position:absolute;visibility:visible;mso-wrap-style:square" from="10882,400" to="10882,1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" strokecolor="#2e75b5" strokeweight=".48pt"/>
                <v:shape id="Text Box 26" o:spid="_x0000_s1050" type="#_x0000_t202" style="position:absolute;left:1015;top:400;width:9872;height:9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7XwAAAANsAAAAPAAAAZHJzL2Rvd25yZXYueG1sRE9Ni8Iw&#10;EL0v+B/CCN7W1B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Xoz+18AAAADbAAAADwAAAAAA&#10;AAAAAAAAAAAHAgAAZHJzL2Rvd25yZXYueG1sUEsFBgAAAAADAAMAtwAAAPQCAAAAAA==&#10;" filled="f" stroked="f">
                  <v:textbox inset="0,0,0,0">
                    <w:txbxContent>
                      <w:p w:rsidR="00AC683C" w:rsidRDefault="00FD2153">
                        <w:pPr>
                          <w:spacing w:before="24"/>
                          <w:ind w:left="117"/>
                          <w:rPr>
                            <w:b/>
                          </w:rPr>
                        </w:pPr>
                        <w:r>
                          <w:rPr>
                            <w:b/>
                            <w:color w:val="2E75B5"/>
                          </w:rPr>
                          <w:t>Repository Type &amp; Brief Description of Repository</w:t>
                        </w:r>
                      </w:p>
                      <w:p w:rsidR="00AC683C" w:rsidRDefault="00FD2153">
                        <w:pPr>
                          <w:spacing w:before="184"/>
                          <w:ind w:left="117" w:right="184"/>
                        </w:pPr>
                        <w:r>
                          <w:rPr>
                            <w:color w:val="2E75B5"/>
                          </w:rPr>
                          <w:t xml:space="preserve">Selection of more than one repository type should be supported by an explanation in </w:t>
                        </w:r>
                        <w:r>
                          <w:rPr>
                            <w:i/>
                            <w:color w:val="2E75B5"/>
                          </w:rPr>
                          <w:t xml:space="preserve">Brief Description of Repository </w:t>
                        </w:r>
                        <w:r>
                          <w:rPr>
                            <w:color w:val="2E75B5"/>
                          </w:rPr>
                          <w:t>of how these multiple roles are fulfilled. This explanation could reference</w:t>
                        </w:r>
                      </w:p>
                    </w:txbxContent>
                  </v:textbox>
                </v:shape>
                <w10:wrap type="topAndBottom" anchorx="page"/>
              </v:group>
            </w:pict>
          </mc:Fallback>
        </mc:AlternateContent>
      </w:r>
      <w:bookmarkStart w:id="28" w:name="Extended_Guidance_R0."/>
      <w:bookmarkEnd w:id="28"/>
      <w:r w:rsidR="00FD2153">
        <w:t>Extended Guidance R0.</w:t>
      </w:r>
    </w:p>
    <w:p w:rsidR="00AC683C" w:rsidRDefault="00AC683C">
      <w:pPr>
        <w:sectPr w:rsidR="00AC683C">
          <w:pgSz w:w="11910" w:h="16840"/>
          <w:pgMar w:top="1020" w:right="900" w:bottom="1060" w:left="900" w:header="724" w:footer="860" w:gutter="0"/>
          <w:cols w:space="720"/>
        </w:sectPr>
      </w:pPr>
    </w:p>
    <w:p w:rsidR="00AC683C" w:rsidRDefault="000A2A0E">
      <w:pPr>
        <w:pStyle w:val="Textindependent"/>
        <w:spacing w:before="93"/>
      </w:pPr>
      <w:r>
        <w:rPr>
          <w:noProof/>
          <w:lang w:val="es-ES" w:eastAsia="es-ES" w:bidi="ar-SA"/>
        </w:rPr>
        <w:lastRenderedPageBreak/>
        <mc:AlternateContent>
          <mc:Choice Requires="wpg">
            <w:drawing>
              <wp:anchor distT="0" distB="0" distL="114300" distR="114300" simplePos="0" relativeHeight="250799104" behindDoc="1" locked="0" layoutInCell="1" allowOverlap="1">
                <wp:simplePos x="0" y="0"/>
                <wp:positionH relativeFrom="page">
                  <wp:posOffset>644525</wp:posOffset>
                </wp:positionH>
                <wp:positionV relativeFrom="page">
                  <wp:posOffset>719455</wp:posOffset>
                </wp:positionV>
                <wp:extent cx="6268720" cy="9034780"/>
                <wp:effectExtent l="0" t="0" r="0" b="0"/>
                <wp:wrapNone/>
                <wp:docPr id="21"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8720" cy="9034780"/>
                          <a:chOff x="1015" y="1133"/>
                          <a:chExt cx="9872" cy="14228"/>
                        </a:xfrm>
                      </wpg:grpSpPr>
                      <wps:wsp>
                        <wps:cNvPr id="22" name="AutoShape 24"/>
                        <wps:cNvSpPr>
                          <a:spLocks/>
                        </wps:cNvSpPr>
                        <wps:spPr bwMode="auto">
                          <a:xfrm>
                            <a:off x="1020" y="1132"/>
                            <a:ext cx="2" cy="13944"/>
                          </a:xfrm>
                          <a:custGeom>
                            <a:avLst/>
                            <a:gdLst>
                              <a:gd name="T0" fmla="+- 0 1567 1133"/>
                              <a:gd name="T1" fmla="*/ 1567 h 13944"/>
                              <a:gd name="T2" fmla="+- 0 1999 1133"/>
                              <a:gd name="T3" fmla="*/ 1999 h 13944"/>
                              <a:gd name="T4" fmla="+- 0 2254 1133"/>
                              <a:gd name="T5" fmla="*/ 2254 h 13944"/>
                              <a:gd name="T6" fmla="+- 0 2506 1133"/>
                              <a:gd name="T7" fmla="*/ 2506 h 13944"/>
                              <a:gd name="T8" fmla="+- 0 2760 1133"/>
                              <a:gd name="T9" fmla="*/ 2760 h 13944"/>
                              <a:gd name="T10" fmla="+- 0 3012 1133"/>
                              <a:gd name="T11" fmla="*/ 3012 h 13944"/>
                              <a:gd name="T12" fmla="+- 0 3264 1133"/>
                              <a:gd name="T13" fmla="*/ 3264 h 13944"/>
                              <a:gd name="T14" fmla="+- 0 3518 1133"/>
                              <a:gd name="T15" fmla="*/ 3518 h 13944"/>
                              <a:gd name="T16" fmla="+- 0 3770 1133"/>
                              <a:gd name="T17" fmla="*/ 3770 h 13944"/>
                              <a:gd name="T18" fmla="+- 0 4205 1133"/>
                              <a:gd name="T19" fmla="*/ 4205 h 13944"/>
                              <a:gd name="T20" fmla="+- 0 4457 1133"/>
                              <a:gd name="T21" fmla="*/ 4457 h 13944"/>
                              <a:gd name="T22" fmla="+- 0 4709 1133"/>
                              <a:gd name="T23" fmla="*/ 4709 h 13944"/>
                              <a:gd name="T24" fmla="+- 0 4963 1133"/>
                              <a:gd name="T25" fmla="*/ 4963 h 13944"/>
                              <a:gd name="T26" fmla="+- 0 5215 1133"/>
                              <a:gd name="T27" fmla="*/ 5215 h 13944"/>
                              <a:gd name="T28" fmla="+- 0 5470 1133"/>
                              <a:gd name="T29" fmla="*/ 5470 h 13944"/>
                              <a:gd name="T30" fmla="+- 0 5722 1133"/>
                              <a:gd name="T31" fmla="*/ 5722 h 13944"/>
                              <a:gd name="T32" fmla="+- 0 6154 1133"/>
                              <a:gd name="T33" fmla="*/ 6154 h 13944"/>
                              <a:gd name="T34" fmla="+- 0 6408 1133"/>
                              <a:gd name="T35" fmla="*/ 6408 h 13944"/>
                              <a:gd name="T36" fmla="+- 0 6660 1133"/>
                              <a:gd name="T37" fmla="*/ 6660 h 13944"/>
                              <a:gd name="T38" fmla="+- 0 6914 1133"/>
                              <a:gd name="T39" fmla="*/ 6914 h 13944"/>
                              <a:gd name="T40" fmla="+- 0 7166 1133"/>
                              <a:gd name="T41" fmla="*/ 7166 h 13944"/>
                              <a:gd name="T42" fmla="+- 0 7418 1133"/>
                              <a:gd name="T43" fmla="*/ 7418 h 13944"/>
                              <a:gd name="T44" fmla="+- 0 7673 1133"/>
                              <a:gd name="T45" fmla="*/ 7673 h 13944"/>
                              <a:gd name="T46" fmla="+- 0 7925 1133"/>
                              <a:gd name="T47" fmla="*/ 7925 h 13944"/>
                              <a:gd name="T48" fmla="+- 0 8179 1133"/>
                              <a:gd name="T49" fmla="*/ 8179 h 13944"/>
                              <a:gd name="T50" fmla="+- 0 8611 1133"/>
                              <a:gd name="T51" fmla="*/ 8611 h 13944"/>
                              <a:gd name="T52" fmla="+- 0 9046 1133"/>
                              <a:gd name="T53" fmla="*/ 9046 h 13944"/>
                              <a:gd name="T54" fmla="+- 0 9298 1133"/>
                              <a:gd name="T55" fmla="*/ 9298 h 13944"/>
                              <a:gd name="T56" fmla="+- 0 9550 1133"/>
                              <a:gd name="T57" fmla="*/ 9550 h 13944"/>
                              <a:gd name="T58" fmla="+- 0 9804 1133"/>
                              <a:gd name="T59" fmla="*/ 9804 h 13944"/>
                              <a:gd name="T60" fmla="+- 0 10056 1133"/>
                              <a:gd name="T61" fmla="*/ 10056 h 13944"/>
                              <a:gd name="T62" fmla="+- 0 10310 1133"/>
                              <a:gd name="T63" fmla="*/ 10310 h 13944"/>
                              <a:gd name="T64" fmla="+- 0 10562 1133"/>
                              <a:gd name="T65" fmla="*/ 10562 h 13944"/>
                              <a:gd name="T66" fmla="+- 0 10994 1133"/>
                              <a:gd name="T67" fmla="*/ 10994 h 13944"/>
                              <a:gd name="T68" fmla="+- 0 11249 1133"/>
                              <a:gd name="T69" fmla="*/ 11249 h 13944"/>
                              <a:gd name="T70" fmla="+- 0 11501 1133"/>
                              <a:gd name="T71" fmla="*/ 11501 h 13944"/>
                              <a:gd name="T72" fmla="+- 0 11755 1133"/>
                              <a:gd name="T73" fmla="*/ 11755 h 13944"/>
                              <a:gd name="T74" fmla="+- 0 12007 1133"/>
                              <a:gd name="T75" fmla="*/ 12007 h 13944"/>
                              <a:gd name="T76" fmla="+- 0 12259 1133"/>
                              <a:gd name="T77" fmla="*/ 12259 h 13944"/>
                              <a:gd name="T78" fmla="+- 0 12694 1133"/>
                              <a:gd name="T79" fmla="*/ 12694 h 13944"/>
                              <a:gd name="T80" fmla="+- 0 12946 1133"/>
                              <a:gd name="T81" fmla="*/ 12946 h 13944"/>
                              <a:gd name="T82" fmla="+- 0 13380 1133"/>
                              <a:gd name="T83" fmla="*/ 13380 h 13944"/>
                              <a:gd name="T84" fmla="+- 0 13812 1133"/>
                              <a:gd name="T85" fmla="*/ 13812 h 13944"/>
                              <a:gd name="T86" fmla="+- 0 14064 1133"/>
                              <a:gd name="T87" fmla="*/ 14064 h 13944"/>
                              <a:gd name="T88" fmla="+- 0 14318 1133"/>
                              <a:gd name="T89" fmla="*/ 14318 h 13944"/>
                              <a:gd name="T90" fmla="+- 0 14570 1133"/>
                              <a:gd name="T91" fmla="*/ 14570 h 13944"/>
                              <a:gd name="T92" fmla="+- 0 14825 1133"/>
                              <a:gd name="T93" fmla="*/ 14825 h 13944"/>
                              <a:gd name="T94" fmla="+- 0 15077 1133"/>
                              <a:gd name="T95" fmla="*/ 15077 h 13944"/>
                            </a:gdLst>
                            <a:ahLst/>
                            <a:cxnLst>
                              <a:cxn ang="0">
                                <a:pos x="0" y="T1"/>
                              </a:cxn>
                              <a:cxn ang="0">
                                <a:pos x="0" y="T3"/>
                              </a:cxn>
                              <a:cxn ang="0">
                                <a:pos x="0" y="T5"/>
                              </a:cxn>
                              <a:cxn ang="0">
                                <a:pos x="0" y="T7"/>
                              </a:cxn>
                              <a:cxn ang="0">
                                <a:pos x="0" y="T9"/>
                              </a:cxn>
                              <a:cxn ang="0">
                                <a:pos x="0" y="T11"/>
                              </a:cxn>
                              <a:cxn ang="0">
                                <a:pos x="0" y="T13"/>
                              </a:cxn>
                              <a:cxn ang="0">
                                <a:pos x="0" y="T15"/>
                              </a:cxn>
                              <a:cxn ang="0">
                                <a:pos x="0" y="T17"/>
                              </a:cxn>
                              <a:cxn ang="0">
                                <a:pos x="0" y="T19"/>
                              </a:cxn>
                              <a:cxn ang="0">
                                <a:pos x="0" y="T21"/>
                              </a:cxn>
                              <a:cxn ang="0">
                                <a:pos x="0" y="T23"/>
                              </a:cxn>
                              <a:cxn ang="0">
                                <a:pos x="0" y="T25"/>
                              </a:cxn>
                              <a:cxn ang="0">
                                <a:pos x="0" y="T27"/>
                              </a:cxn>
                              <a:cxn ang="0">
                                <a:pos x="0" y="T29"/>
                              </a:cxn>
                              <a:cxn ang="0">
                                <a:pos x="0" y="T31"/>
                              </a:cxn>
                              <a:cxn ang="0">
                                <a:pos x="0" y="T33"/>
                              </a:cxn>
                              <a:cxn ang="0">
                                <a:pos x="0" y="T35"/>
                              </a:cxn>
                              <a:cxn ang="0">
                                <a:pos x="0" y="T37"/>
                              </a:cxn>
                              <a:cxn ang="0">
                                <a:pos x="0" y="T39"/>
                              </a:cxn>
                              <a:cxn ang="0">
                                <a:pos x="0" y="T41"/>
                              </a:cxn>
                              <a:cxn ang="0">
                                <a:pos x="0" y="T43"/>
                              </a:cxn>
                              <a:cxn ang="0">
                                <a:pos x="0" y="T45"/>
                              </a:cxn>
                              <a:cxn ang="0">
                                <a:pos x="0" y="T47"/>
                              </a:cxn>
                              <a:cxn ang="0">
                                <a:pos x="0" y="T49"/>
                              </a:cxn>
                              <a:cxn ang="0">
                                <a:pos x="0" y="T51"/>
                              </a:cxn>
                              <a:cxn ang="0">
                                <a:pos x="0" y="T53"/>
                              </a:cxn>
                              <a:cxn ang="0">
                                <a:pos x="0" y="T55"/>
                              </a:cxn>
                              <a:cxn ang="0">
                                <a:pos x="0" y="T57"/>
                              </a:cxn>
                              <a:cxn ang="0">
                                <a:pos x="0" y="T59"/>
                              </a:cxn>
                              <a:cxn ang="0">
                                <a:pos x="0" y="T61"/>
                              </a:cxn>
                              <a:cxn ang="0">
                                <a:pos x="0" y="T63"/>
                              </a:cxn>
                              <a:cxn ang="0">
                                <a:pos x="0" y="T65"/>
                              </a:cxn>
                              <a:cxn ang="0">
                                <a:pos x="0" y="T67"/>
                              </a:cxn>
                              <a:cxn ang="0">
                                <a:pos x="0" y="T69"/>
                              </a:cxn>
                              <a:cxn ang="0">
                                <a:pos x="0" y="T71"/>
                              </a:cxn>
                              <a:cxn ang="0">
                                <a:pos x="0" y="T73"/>
                              </a:cxn>
                              <a:cxn ang="0">
                                <a:pos x="0" y="T75"/>
                              </a:cxn>
                              <a:cxn ang="0">
                                <a:pos x="0" y="T77"/>
                              </a:cxn>
                              <a:cxn ang="0">
                                <a:pos x="0" y="T79"/>
                              </a:cxn>
                              <a:cxn ang="0">
                                <a:pos x="0" y="T81"/>
                              </a:cxn>
                              <a:cxn ang="0">
                                <a:pos x="0" y="T83"/>
                              </a:cxn>
                              <a:cxn ang="0">
                                <a:pos x="0" y="T85"/>
                              </a:cxn>
                              <a:cxn ang="0">
                                <a:pos x="0" y="T87"/>
                              </a:cxn>
                              <a:cxn ang="0">
                                <a:pos x="0" y="T89"/>
                              </a:cxn>
                              <a:cxn ang="0">
                                <a:pos x="0" y="T91"/>
                              </a:cxn>
                              <a:cxn ang="0">
                                <a:pos x="0" y="T93"/>
                              </a:cxn>
                              <a:cxn ang="0">
                                <a:pos x="0" y="T95"/>
                              </a:cxn>
                            </a:cxnLst>
                            <a:rect l="0" t="0" r="r" b="b"/>
                            <a:pathLst>
                              <a:path h="13944">
                                <a:moveTo>
                                  <a:pt x="0" y="0"/>
                                </a:moveTo>
                                <a:lnTo>
                                  <a:pt x="0" y="434"/>
                                </a:lnTo>
                                <a:moveTo>
                                  <a:pt x="0" y="434"/>
                                </a:moveTo>
                                <a:lnTo>
                                  <a:pt x="0" y="866"/>
                                </a:lnTo>
                                <a:moveTo>
                                  <a:pt x="0" y="866"/>
                                </a:moveTo>
                                <a:lnTo>
                                  <a:pt x="0" y="1121"/>
                                </a:lnTo>
                                <a:moveTo>
                                  <a:pt x="0" y="1121"/>
                                </a:moveTo>
                                <a:lnTo>
                                  <a:pt x="0" y="1373"/>
                                </a:lnTo>
                                <a:moveTo>
                                  <a:pt x="0" y="1373"/>
                                </a:moveTo>
                                <a:lnTo>
                                  <a:pt x="0" y="1627"/>
                                </a:lnTo>
                                <a:moveTo>
                                  <a:pt x="0" y="1627"/>
                                </a:moveTo>
                                <a:lnTo>
                                  <a:pt x="0" y="1879"/>
                                </a:lnTo>
                                <a:moveTo>
                                  <a:pt x="0" y="1879"/>
                                </a:moveTo>
                                <a:lnTo>
                                  <a:pt x="0" y="2131"/>
                                </a:lnTo>
                                <a:moveTo>
                                  <a:pt x="0" y="2131"/>
                                </a:moveTo>
                                <a:lnTo>
                                  <a:pt x="0" y="2385"/>
                                </a:lnTo>
                                <a:moveTo>
                                  <a:pt x="0" y="2385"/>
                                </a:moveTo>
                                <a:lnTo>
                                  <a:pt x="0" y="2637"/>
                                </a:lnTo>
                                <a:moveTo>
                                  <a:pt x="0" y="2637"/>
                                </a:moveTo>
                                <a:lnTo>
                                  <a:pt x="0" y="3072"/>
                                </a:lnTo>
                                <a:moveTo>
                                  <a:pt x="0" y="3072"/>
                                </a:moveTo>
                                <a:lnTo>
                                  <a:pt x="0" y="3324"/>
                                </a:lnTo>
                                <a:moveTo>
                                  <a:pt x="0" y="3324"/>
                                </a:moveTo>
                                <a:lnTo>
                                  <a:pt x="0" y="3576"/>
                                </a:lnTo>
                                <a:moveTo>
                                  <a:pt x="0" y="3576"/>
                                </a:moveTo>
                                <a:lnTo>
                                  <a:pt x="0" y="3830"/>
                                </a:lnTo>
                                <a:moveTo>
                                  <a:pt x="0" y="3830"/>
                                </a:moveTo>
                                <a:lnTo>
                                  <a:pt x="0" y="4082"/>
                                </a:lnTo>
                                <a:moveTo>
                                  <a:pt x="0" y="4082"/>
                                </a:moveTo>
                                <a:lnTo>
                                  <a:pt x="0" y="4337"/>
                                </a:lnTo>
                                <a:moveTo>
                                  <a:pt x="0" y="4337"/>
                                </a:moveTo>
                                <a:lnTo>
                                  <a:pt x="0" y="4589"/>
                                </a:lnTo>
                                <a:moveTo>
                                  <a:pt x="0" y="4589"/>
                                </a:moveTo>
                                <a:lnTo>
                                  <a:pt x="0" y="5021"/>
                                </a:lnTo>
                                <a:moveTo>
                                  <a:pt x="0" y="5021"/>
                                </a:moveTo>
                                <a:lnTo>
                                  <a:pt x="0" y="5275"/>
                                </a:lnTo>
                                <a:moveTo>
                                  <a:pt x="0" y="5275"/>
                                </a:moveTo>
                                <a:lnTo>
                                  <a:pt x="0" y="5527"/>
                                </a:lnTo>
                                <a:moveTo>
                                  <a:pt x="0" y="5527"/>
                                </a:moveTo>
                                <a:lnTo>
                                  <a:pt x="0" y="5781"/>
                                </a:lnTo>
                                <a:moveTo>
                                  <a:pt x="0" y="5781"/>
                                </a:moveTo>
                                <a:lnTo>
                                  <a:pt x="0" y="6033"/>
                                </a:lnTo>
                                <a:moveTo>
                                  <a:pt x="0" y="6033"/>
                                </a:moveTo>
                                <a:lnTo>
                                  <a:pt x="0" y="6285"/>
                                </a:lnTo>
                                <a:moveTo>
                                  <a:pt x="0" y="6285"/>
                                </a:moveTo>
                                <a:lnTo>
                                  <a:pt x="0" y="6540"/>
                                </a:lnTo>
                                <a:moveTo>
                                  <a:pt x="0" y="6540"/>
                                </a:moveTo>
                                <a:lnTo>
                                  <a:pt x="0" y="6792"/>
                                </a:lnTo>
                                <a:moveTo>
                                  <a:pt x="0" y="6792"/>
                                </a:moveTo>
                                <a:lnTo>
                                  <a:pt x="0" y="7046"/>
                                </a:lnTo>
                                <a:moveTo>
                                  <a:pt x="0" y="7046"/>
                                </a:moveTo>
                                <a:lnTo>
                                  <a:pt x="0" y="7478"/>
                                </a:lnTo>
                                <a:moveTo>
                                  <a:pt x="0" y="7478"/>
                                </a:moveTo>
                                <a:lnTo>
                                  <a:pt x="0" y="7913"/>
                                </a:lnTo>
                                <a:moveTo>
                                  <a:pt x="0" y="7913"/>
                                </a:moveTo>
                                <a:lnTo>
                                  <a:pt x="0" y="8165"/>
                                </a:lnTo>
                                <a:moveTo>
                                  <a:pt x="0" y="8165"/>
                                </a:moveTo>
                                <a:lnTo>
                                  <a:pt x="0" y="8417"/>
                                </a:lnTo>
                                <a:moveTo>
                                  <a:pt x="0" y="8417"/>
                                </a:moveTo>
                                <a:lnTo>
                                  <a:pt x="0" y="8671"/>
                                </a:lnTo>
                                <a:moveTo>
                                  <a:pt x="0" y="8671"/>
                                </a:moveTo>
                                <a:lnTo>
                                  <a:pt x="0" y="8923"/>
                                </a:lnTo>
                                <a:moveTo>
                                  <a:pt x="0" y="8923"/>
                                </a:moveTo>
                                <a:lnTo>
                                  <a:pt x="0" y="9177"/>
                                </a:lnTo>
                                <a:moveTo>
                                  <a:pt x="0" y="9177"/>
                                </a:moveTo>
                                <a:lnTo>
                                  <a:pt x="0" y="9429"/>
                                </a:lnTo>
                                <a:moveTo>
                                  <a:pt x="0" y="9429"/>
                                </a:moveTo>
                                <a:lnTo>
                                  <a:pt x="0" y="9861"/>
                                </a:lnTo>
                                <a:moveTo>
                                  <a:pt x="0" y="9861"/>
                                </a:moveTo>
                                <a:lnTo>
                                  <a:pt x="0" y="10116"/>
                                </a:lnTo>
                                <a:moveTo>
                                  <a:pt x="0" y="10116"/>
                                </a:moveTo>
                                <a:lnTo>
                                  <a:pt x="0" y="10368"/>
                                </a:lnTo>
                                <a:moveTo>
                                  <a:pt x="0" y="10368"/>
                                </a:moveTo>
                                <a:lnTo>
                                  <a:pt x="0" y="10622"/>
                                </a:lnTo>
                                <a:moveTo>
                                  <a:pt x="0" y="10622"/>
                                </a:moveTo>
                                <a:lnTo>
                                  <a:pt x="0" y="10874"/>
                                </a:lnTo>
                                <a:moveTo>
                                  <a:pt x="0" y="10874"/>
                                </a:moveTo>
                                <a:lnTo>
                                  <a:pt x="0" y="11126"/>
                                </a:lnTo>
                                <a:moveTo>
                                  <a:pt x="0" y="11126"/>
                                </a:moveTo>
                                <a:lnTo>
                                  <a:pt x="0" y="11561"/>
                                </a:lnTo>
                                <a:moveTo>
                                  <a:pt x="0" y="11561"/>
                                </a:moveTo>
                                <a:lnTo>
                                  <a:pt x="0" y="11813"/>
                                </a:lnTo>
                                <a:moveTo>
                                  <a:pt x="0" y="11813"/>
                                </a:moveTo>
                                <a:lnTo>
                                  <a:pt x="0" y="12247"/>
                                </a:lnTo>
                                <a:moveTo>
                                  <a:pt x="0" y="12247"/>
                                </a:moveTo>
                                <a:lnTo>
                                  <a:pt x="0" y="12679"/>
                                </a:lnTo>
                                <a:moveTo>
                                  <a:pt x="0" y="12679"/>
                                </a:moveTo>
                                <a:lnTo>
                                  <a:pt x="0" y="12931"/>
                                </a:lnTo>
                                <a:moveTo>
                                  <a:pt x="0" y="12931"/>
                                </a:moveTo>
                                <a:lnTo>
                                  <a:pt x="0" y="13185"/>
                                </a:lnTo>
                                <a:moveTo>
                                  <a:pt x="0" y="13185"/>
                                </a:moveTo>
                                <a:lnTo>
                                  <a:pt x="0" y="13437"/>
                                </a:lnTo>
                                <a:moveTo>
                                  <a:pt x="0" y="13437"/>
                                </a:moveTo>
                                <a:lnTo>
                                  <a:pt x="0" y="13692"/>
                                </a:lnTo>
                                <a:moveTo>
                                  <a:pt x="0" y="13692"/>
                                </a:moveTo>
                                <a:lnTo>
                                  <a:pt x="0" y="13944"/>
                                </a:lnTo>
                              </a:path>
                            </a:pathLst>
                          </a:custGeom>
                          <a:noFill/>
                          <a:ln w="6096">
                            <a:solidFill>
                              <a:srgbClr val="2E75B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Line 23"/>
                        <wps:cNvCnPr>
                          <a:cxnSpLocks noChangeShapeType="1"/>
                        </wps:cNvCnPr>
                        <wps:spPr bwMode="auto">
                          <a:xfrm>
                            <a:off x="1025" y="15355"/>
                            <a:ext cx="9852" cy="0"/>
                          </a:xfrm>
                          <a:prstGeom prst="line">
                            <a:avLst/>
                          </a:prstGeom>
                          <a:noFill/>
                          <a:ln w="6096">
                            <a:solidFill>
                              <a:srgbClr val="2E75B5"/>
                            </a:solidFill>
                            <a:prstDash val="solid"/>
                            <a:round/>
                            <a:headEnd/>
                            <a:tailEnd/>
                          </a:ln>
                          <a:extLst>
                            <a:ext uri="{909E8E84-426E-40DD-AFC4-6F175D3DCCD1}">
                              <a14:hiddenFill xmlns:a14="http://schemas.microsoft.com/office/drawing/2010/main">
                                <a:noFill/>
                              </a14:hiddenFill>
                            </a:ext>
                          </a:extLst>
                        </wps:spPr>
                        <wps:bodyPr/>
                      </wps:wsp>
                      <wps:wsp>
                        <wps:cNvPr id="24" name="Line 22"/>
                        <wps:cNvCnPr>
                          <a:cxnSpLocks noChangeShapeType="1"/>
                        </wps:cNvCnPr>
                        <wps:spPr bwMode="auto">
                          <a:xfrm>
                            <a:off x="1020" y="15077"/>
                            <a:ext cx="0" cy="283"/>
                          </a:xfrm>
                          <a:prstGeom prst="line">
                            <a:avLst/>
                          </a:prstGeom>
                          <a:noFill/>
                          <a:ln w="6096">
                            <a:solidFill>
                              <a:srgbClr val="2E75B5"/>
                            </a:solidFill>
                            <a:prstDash val="solid"/>
                            <a:round/>
                            <a:headEnd/>
                            <a:tailEnd/>
                          </a:ln>
                          <a:extLst>
                            <a:ext uri="{909E8E84-426E-40DD-AFC4-6F175D3DCCD1}">
                              <a14:hiddenFill xmlns:a14="http://schemas.microsoft.com/office/drawing/2010/main">
                                <a:noFill/>
                              </a14:hiddenFill>
                            </a:ext>
                          </a:extLst>
                        </wps:spPr>
                        <wps:bodyPr/>
                      </wps:wsp>
                      <wps:wsp>
                        <wps:cNvPr id="25" name="AutoShape 21"/>
                        <wps:cNvSpPr>
                          <a:spLocks/>
                        </wps:cNvSpPr>
                        <wps:spPr bwMode="auto">
                          <a:xfrm>
                            <a:off x="10881" y="1132"/>
                            <a:ext cx="2" cy="14228"/>
                          </a:xfrm>
                          <a:custGeom>
                            <a:avLst/>
                            <a:gdLst>
                              <a:gd name="T0" fmla="+- 0 1567 1133"/>
                              <a:gd name="T1" fmla="*/ 1567 h 14228"/>
                              <a:gd name="T2" fmla="+- 0 1999 1133"/>
                              <a:gd name="T3" fmla="*/ 1999 h 14228"/>
                              <a:gd name="T4" fmla="+- 0 2254 1133"/>
                              <a:gd name="T5" fmla="*/ 2254 h 14228"/>
                              <a:gd name="T6" fmla="+- 0 2506 1133"/>
                              <a:gd name="T7" fmla="*/ 2506 h 14228"/>
                              <a:gd name="T8" fmla="+- 0 2760 1133"/>
                              <a:gd name="T9" fmla="*/ 2760 h 14228"/>
                              <a:gd name="T10" fmla="+- 0 3012 1133"/>
                              <a:gd name="T11" fmla="*/ 3012 h 14228"/>
                              <a:gd name="T12" fmla="+- 0 3264 1133"/>
                              <a:gd name="T13" fmla="*/ 3264 h 14228"/>
                              <a:gd name="T14" fmla="+- 0 3518 1133"/>
                              <a:gd name="T15" fmla="*/ 3518 h 14228"/>
                              <a:gd name="T16" fmla="+- 0 3770 1133"/>
                              <a:gd name="T17" fmla="*/ 3770 h 14228"/>
                              <a:gd name="T18" fmla="+- 0 4205 1133"/>
                              <a:gd name="T19" fmla="*/ 4205 h 14228"/>
                              <a:gd name="T20" fmla="+- 0 4457 1133"/>
                              <a:gd name="T21" fmla="*/ 4457 h 14228"/>
                              <a:gd name="T22" fmla="+- 0 4709 1133"/>
                              <a:gd name="T23" fmla="*/ 4709 h 14228"/>
                              <a:gd name="T24" fmla="+- 0 4963 1133"/>
                              <a:gd name="T25" fmla="*/ 4963 h 14228"/>
                              <a:gd name="T26" fmla="+- 0 5215 1133"/>
                              <a:gd name="T27" fmla="*/ 5215 h 14228"/>
                              <a:gd name="T28" fmla="+- 0 5470 1133"/>
                              <a:gd name="T29" fmla="*/ 5470 h 14228"/>
                              <a:gd name="T30" fmla="+- 0 5722 1133"/>
                              <a:gd name="T31" fmla="*/ 5722 h 14228"/>
                              <a:gd name="T32" fmla="+- 0 6154 1133"/>
                              <a:gd name="T33" fmla="*/ 6154 h 14228"/>
                              <a:gd name="T34" fmla="+- 0 6408 1133"/>
                              <a:gd name="T35" fmla="*/ 6408 h 14228"/>
                              <a:gd name="T36" fmla="+- 0 6660 1133"/>
                              <a:gd name="T37" fmla="*/ 6660 h 14228"/>
                              <a:gd name="T38" fmla="+- 0 6914 1133"/>
                              <a:gd name="T39" fmla="*/ 6914 h 14228"/>
                              <a:gd name="T40" fmla="+- 0 7166 1133"/>
                              <a:gd name="T41" fmla="*/ 7166 h 14228"/>
                              <a:gd name="T42" fmla="+- 0 7418 1133"/>
                              <a:gd name="T43" fmla="*/ 7418 h 14228"/>
                              <a:gd name="T44" fmla="+- 0 7673 1133"/>
                              <a:gd name="T45" fmla="*/ 7673 h 14228"/>
                              <a:gd name="T46" fmla="+- 0 7925 1133"/>
                              <a:gd name="T47" fmla="*/ 7925 h 14228"/>
                              <a:gd name="T48" fmla="+- 0 8179 1133"/>
                              <a:gd name="T49" fmla="*/ 8179 h 14228"/>
                              <a:gd name="T50" fmla="+- 0 8611 1133"/>
                              <a:gd name="T51" fmla="*/ 8611 h 14228"/>
                              <a:gd name="T52" fmla="+- 0 9046 1133"/>
                              <a:gd name="T53" fmla="*/ 9046 h 14228"/>
                              <a:gd name="T54" fmla="+- 0 9298 1133"/>
                              <a:gd name="T55" fmla="*/ 9298 h 14228"/>
                              <a:gd name="T56" fmla="+- 0 9550 1133"/>
                              <a:gd name="T57" fmla="*/ 9550 h 14228"/>
                              <a:gd name="T58" fmla="+- 0 9804 1133"/>
                              <a:gd name="T59" fmla="*/ 9804 h 14228"/>
                              <a:gd name="T60" fmla="+- 0 10056 1133"/>
                              <a:gd name="T61" fmla="*/ 10056 h 14228"/>
                              <a:gd name="T62" fmla="+- 0 10310 1133"/>
                              <a:gd name="T63" fmla="*/ 10310 h 14228"/>
                              <a:gd name="T64" fmla="+- 0 10562 1133"/>
                              <a:gd name="T65" fmla="*/ 10562 h 14228"/>
                              <a:gd name="T66" fmla="+- 0 10994 1133"/>
                              <a:gd name="T67" fmla="*/ 10994 h 14228"/>
                              <a:gd name="T68" fmla="+- 0 11249 1133"/>
                              <a:gd name="T69" fmla="*/ 11249 h 14228"/>
                              <a:gd name="T70" fmla="+- 0 11501 1133"/>
                              <a:gd name="T71" fmla="*/ 11501 h 14228"/>
                              <a:gd name="T72" fmla="+- 0 11755 1133"/>
                              <a:gd name="T73" fmla="*/ 11755 h 14228"/>
                              <a:gd name="T74" fmla="+- 0 12007 1133"/>
                              <a:gd name="T75" fmla="*/ 12007 h 14228"/>
                              <a:gd name="T76" fmla="+- 0 12259 1133"/>
                              <a:gd name="T77" fmla="*/ 12259 h 14228"/>
                              <a:gd name="T78" fmla="+- 0 12694 1133"/>
                              <a:gd name="T79" fmla="*/ 12694 h 14228"/>
                              <a:gd name="T80" fmla="+- 0 12946 1133"/>
                              <a:gd name="T81" fmla="*/ 12946 h 14228"/>
                              <a:gd name="T82" fmla="+- 0 13380 1133"/>
                              <a:gd name="T83" fmla="*/ 13380 h 14228"/>
                              <a:gd name="T84" fmla="+- 0 13812 1133"/>
                              <a:gd name="T85" fmla="*/ 13812 h 14228"/>
                              <a:gd name="T86" fmla="+- 0 14064 1133"/>
                              <a:gd name="T87" fmla="*/ 14064 h 14228"/>
                              <a:gd name="T88" fmla="+- 0 14318 1133"/>
                              <a:gd name="T89" fmla="*/ 14318 h 14228"/>
                              <a:gd name="T90" fmla="+- 0 14570 1133"/>
                              <a:gd name="T91" fmla="*/ 14570 h 14228"/>
                              <a:gd name="T92" fmla="+- 0 14825 1133"/>
                              <a:gd name="T93" fmla="*/ 14825 h 14228"/>
                              <a:gd name="T94" fmla="+- 0 15077 1133"/>
                              <a:gd name="T95" fmla="*/ 15077 h 14228"/>
                              <a:gd name="T96" fmla="+- 0 15360 1133"/>
                              <a:gd name="T97" fmla="*/ 15360 h 14228"/>
                            </a:gdLst>
                            <a:ahLst/>
                            <a:cxnLst>
                              <a:cxn ang="0">
                                <a:pos x="0" y="T1"/>
                              </a:cxn>
                              <a:cxn ang="0">
                                <a:pos x="0" y="T3"/>
                              </a:cxn>
                              <a:cxn ang="0">
                                <a:pos x="0" y="T5"/>
                              </a:cxn>
                              <a:cxn ang="0">
                                <a:pos x="0" y="T7"/>
                              </a:cxn>
                              <a:cxn ang="0">
                                <a:pos x="0" y="T9"/>
                              </a:cxn>
                              <a:cxn ang="0">
                                <a:pos x="0" y="T11"/>
                              </a:cxn>
                              <a:cxn ang="0">
                                <a:pos x="0" y="T13"/>
                              </a:cxn>
                              <a:cxn ang="0">
                                <a:pos x="0" y="T15"/>
                              </a:cxn>
                              <a:cxn ang="0">
                                <a:pos x="0" y="T17"/>
                              </a:cxn>
                              <a:cxn ang="0">
                                <a:pos x="0" y="T19"/>
                              </a:cxn>
                              <a:cxn ang="0">
                                <a:pos x="0" y="T21"/>
                              </a:cxn>
                              <a:cxn ang="0">
                                <a:pos x="0" y="T23"/>
                              </a:cxn>
                              <a:cxn ang="0">
                                <a:pos x="0" y="T25"/>
                              </a:cxn>
                              <a:cxn ang="0">
                                <a:pos x="0" y="T27"/>
                              </a:cxn>
                              <a:cxn ang="0">
                                <a:pos x="0" y="T29"/>
                              </a:cxn>
                              <a:cxn ang="0">
                                <a:pos x="0" y="T31"/>
                              </a:cxn>
                              <a:cxn ang="0">
                                <a:pos x="0" y="T33"/>
                              </a:cxn>
                              <a:cxn ang="0">
                                <a:pos x="0" y="T35"/>
                              </a:cxn>
                              <a:cxn ang="0">
                                <a:pos x="0" y="T37"/>
                              </a:cxn>
                              <a:cxn ang="0">
                                <a:pos x="0" y="T39"/>
                              </a:cxn>
                              <a:cxn ang="0">
                                <a:pos x="0" y="T41"/>
                              </a:cxn>
                              <a:cxn ang="0">
                                <a:pos x="0" y="T43"/>
                              </a:cxn>
                              <a:cxn ang="0">
                                <a:pos x="0" y="T45"/>
                              </a:cxn>
                              <a:cxn ang="0">
                                <a:pos x="0" y="T47"/>
                              </a:cxn>
                              <a:cxn ang="0">
                                <a:pos x="0" y="T49"/>
                              </a:cxn>
                              <a:cxn ang="0">
                                <a:pos x="0" y="T51"/>
                              </a:cxn>
                              <a:cxn ang="0">
                                <a:pos x="0" y="T53"/>
                              </a:cxn>
                              <a:cxn ang="0">
                                <a:pos x="0" y="T55"/>
                              </a:cxn>
                              <a:cxn ang="0">
                                <a:pos x="0" y="T57"/>
                              </a:cxn>
                              <a:cxn ang="0">
                                <a:pos x="0" y="T59"/>
                              </a:cxn>
                              <a:cxn ang="0">
                                <a:pos x="0" y="T61"/>
                              </a:cxn>
                              <a:cxn ang="0">
                                <a:pos x="0" y="T63"/>
                              </a:cxn>
                              <a:cxn ang="0">
                                <a:pos x="0" y="T65"/>
                              </a:cxn>
                              <a:cxn ang="0">
                                <a:pos x="0" y="T67"/>
                              </a:cxn>
                              <a:cxn ang="0">
                                <a:pos x="0" y="T69"/>
                              </a:cxn>
                              <a:cxn ang="0">
                                <a:pos x="0" y="T71"/>
                              </a:cxn>
                              <a:cxn ang="0">
                                <a:pos x="0" y="T73"/>
                              </a:cxn>
                              <a:cxn ang="0">
                                <a:pos x="0" y="T75"/>
                              </a:cxn>
                              <a:cxn ang="0">
                                <a:pos x="0" y="T77"/>
                              </a:cxn>
                              <a:cxn ang="0">
                                <a:pos x="0" y="T79"/>
                              </a:cxn>
                              <a:cxn ang="0">
                                <a:pos x="0" y="T81"/>
                              </a:cxn>
                              <a:cxn ang="0">
                                <a:pos x="0" y="T83"/>
                              </a:cxn>
                              <a:cxn ang="0">
                                <a:pos x="0" y="T85"/>
                              </a:cxn>
                              <a:cxn ang="0">
                                <a:pos x="0" y="T87"/>
                              </a:cxn>
                              <a:cxn ang="0">
                                <a:pos x="0" y="T89"/>
                              </a:cxn>
                              <a:cxn ang="0">
                                <a:pos x="0" y="T91"/>
                              </a:cxn>
                              <a:cxn ang="0">
                                <a:pos x="0" y="T93"/>
                              </a:cxn>
                              <a:cxn ang="0">
                                <a:pos x="0" y="T95"/>
                              </a:cxn>
                              <a:cxn ang="0">
                                <a:pos x="0" y="T97"/>
                              </a:cxn>
                            </a:cxnLst>
                            <a:rect l="0" t="0" r="r" b="b"/>
                            <a:pathLst>
                              <a:path h="14228">
                                <a:moveTo>
                                  <a:pt x="0" y="0"/>
                                </a:moveTo>
                                <a:lnTo>
                                  <a:pt x="0" y="434"/>
                                </a:lnTo>
                                <a:moveTo>
                                  <a:pt x="0" y="434"/>
                                </a:moveTo>
                                <a:lnTo>
                                  <a:pt x="0" y="866"/>
                                </a:lnTo>
                                <a:moveTo>
                                  <a:pt x="0" y="866"/>
                                </a:moveTo>
                                <a:lnTo>
                                  <a:pt x="0" y="1121"/>
                                </a:lnTo>
                                <a:moveTo>
                                  <a:pt x="0" y="1121"/>
                                </a:moveTo>
                                <a:lnTo>
                                  <a:pt x="0" y="1373"/>
                                </a:lnTo>
                                <a:moveTo>
                                  <a:pt x="0" y="1373"/>
                                </a:moveTo>
                                <a:lnTo>
                                  <a:pt x="0" y="1627"/>
                                </a:lnTo>
                                <a:moveTo>
                                  <a:pt x="0" y="1627"/>
                                </a:moveTo>
                                <a:lnTo>
                                  <a:pt x="0" y="1879"/>
                                </a:lnTo>
                                <a:moveTo>
                                  <a:pt x="0" y="1879"/>
                                </a:moveTo>
                                <a:lnTo>
                                  <a:pt x="0" y="2131"/>
                                </a:lnTo>
                                <a:moveTo>
                                  <a:pt x="0" y="2131"/>
                                </a:moveTo>
                                <a:lnTo>
                                  <a:pt x="0" y="2385"/>
                                </a:lnTo>
                                <a:moveTo>
                                  <a:pt x="0" y="2385"/>
                                </a:moveTo>
                                <a:lnTo>
                                  <a:pt x="0" y="2637"/>
                                </a:lnTo>
                                <a:moveTo>
                                  <a:pt x="0" y="2637"/>
                                </a:moveTo>
                                <a:lnTo>
                                  <a:pt x="0" y="3072"/>
                                </a:lnTo>
                                <a:moveTo>
                                  <a:pt x="0" y="3072"/>
                                </a:moveTo>
                                <a:lnTo>
                                  <a:pt x="0" y="3324"/>
                                </a:lnTo>
                                <a:moveTo>
                                  <a:pt x="0" y="3324"/>
                                </a:moveTo>
                                <a:lnTo>
                                  <a:pt x="0" y="3576"/>
                                </a:lnTo>
                                <a:moveTo>
                                  <a:pt x="0" y="3576"/>
                                </a:moveTo>
                                <a:lnTo>
                                  <a:pt x="0" y="3830"/>
                                </a:lnTo>
                                <a:moveTo>
                                  <a:pt x="0" y="3830"/>
                                </a:moveTo>
                                <a:lnTo>
                                  <a:pt x="0" y="4082"/>
                                </a:lnTo>
                                <a:moveTo>
                                  <a:pt x="0" y="4082"/>
                                </a:moveTo>
                                <a:lnTo>
                                  <a:pt x="0" y="4337"/>
                                </a:lnTo>
                                <a:moveTo>
                                  <a:pt x="0" y="4337"/>
                                </a:moveTo>
                                <a:lnTo>
                                  <a:pt x="0" y="4589"/>
                                </a:lnTo>
                                <a:moveTo>
                                  <a:pt x="0" y="4589"/>
                                </a:moveTo>
                                <a:lnTo>
                                  <a:pt x="0" y="5021"/>
                                </a:lnTo>
                                <a:moveTo>
                                  <a:pt x="0" y="5021"/>
                                </a:moveTo>
                                <a:lnTo>
                                  <a:pt x="0" y="5275"/>
                                </a:lnTo>
                                <a:moveTo>
                                  <a:pt x="0" y="5275"/>
                                </a:moveTo>
                                <a:lnTo>
                                  <a:pt x="0" y="5527"/>
                                </a:lnTo>
                                <a:moveTo>
                                  <a:pt x="0" y="5527"/>
                                </a:moveTo>
                                <a:lnTo>
                                  <a:pt x="0" y="5781"/>
                                </a:lnTo>
                                <a:moveTo>
                                  <a:pt x="0" y="5781"/>
                                </a:moveTo>
                                <a:lnTo>
                                  <a:pt x="0" y="6033"/>
                                </a:lnTo>
                                <a:moveTo>
                                  <a:pt x="0" y="6033"/>
                                </a:moveTo>
                                <a:lnTo>
                                  <a:pt x="0" y="6285"/>
                                </a:lnTo>
                                <a:moveTo>
                                  <a:pt x="0" y="6285"/>
                                </a:moveTo>
                                <a:lnTo>
                                  <a:pt x="0" y="6540"/>
                                </a:lnTo>
                                <a:moveTo>
                                  <a:pt x="0" y="6540"/>
                                </a:moveTo>
                                <a:lnTo>
                                  <a:pt x="0" y="6792"/>
                                </a:lnTo>
                                <a:moveTo>
                                  <a:pt x="0" y="6792"/>
                                </a:moveTo>
                                <a:lnTo>
                                  <a:pt x="0" y="7046"/>
                                </a:lnTo>
                                <a:moveTo>
                                  <a:pt x="0" y="7046"/>
                                </a:moveTo>
                                <a:lnTo>
                                  <a:pt x="0" y="7478"/>
                                </a:lnTo>
                                <a:moveTo>
                                  <a:pt x="0" y="7478"/>
                                </a:moveTo>
                                <a:lnTo>
                                  <a:pt x="0" y="7913"/>
                                </a:lnTo>
                                <a:moveTo>
                                  <a:pt x="0" y="7913"/>
                                </a:moveTo>
                                <a:lnTo>
                                  <a:pt x="0" y="8165"/>
                                </a:lnTo>
                                <a:moveTo>
                                  <a:pt x="0" y="8165"/>
                                </a:moveTo>
                                <a:lnTo>
                                  <a:pt x="0" y="8417"/>
                                </a:lnTo>
                                <a:moveTo>
                                  <a:pt x="0" y="8417"/>
                                </a:moveTo>
                                <a:lnTo>
                                  <a:pt x="0" y="8671"/>
                                </a:lnTo>
                                <a:moveTo>
                                  <a:pt x="0" y="8671"/>
                                </a:moveTo>
                                <a:lnTo>
                                  <a:pt x="0" y="8923"/>
                                </a:lnTo>
                                <a:moveTo>
                                  <a:pt x="0" y="8923"/>
                                </a:moveTo>
                                <a:lnTo>
                                  <a:pt x="0" y="9177"/>
                                </a:lnTo>
                                <a:moveTo>
                                  <a:pt x="0" y="9177"/>
                                </a:moveTo>
                                <a:lnTo>
                                  <a:pt x="0" y="9429"/>
                                </a:lnTo>
                                <a:moveTo>
                                  <a:pt x="0" y="9429"/>
                                </a:moveTo>
                                <a:lnTo>
                                  <a:pt x="0" y="9861"/>
                                </a:lnTo>
                                <a:moveTo>
                                  <a:pt x="0" y="9861"/>
                                </a:moveTo>
                                <a:lnTo>
                                  <a:pt x="0" y="10116"/>
                                </a:lnTo>
                                <a:moveTo>
                                  <a:pt x="0" y="10116"/>
                                </a:moveTo>
                                <a:lnTo>
                                  <a:pt x="0" y="10368"/>
                                </a:lnTo>
                                <a:moveTo>
                                  <a:pt x="0" y="10368"/>
                                </a:moveTo>
                                <a:lnTo>
                                  <a:pt x="0" y="10622"/>
                                </a:lnTo>
                                <a:moveTo>
                                  <a:pt x="0" y="10622"/>
                                </a:moveTo>
                                <a:lnTo>
                                  <a:pt x="0" y="10874"/>
                                </a:lnTo>
                                <a:moveTo>
                                  <a:pt x="0" y="10874"/>
                                </a:moveTo>
                                <a:lnTo>
                                  <a:pt x="0" y="11126"/>
                                </a:lnTo>
                                <a:moveTo>
                                  <a:pt x="0" y="11126"/>
                                </a:moveTo>
                                <a:lnTo>
                                  <a:pt x="0" y="11561"/>
                                </a:lnTo>
                                <a:moveTo>
                                  <a:pt x="0" y="11561"/>
                                </a:moveTo>
                                <a:lnTo>
                                  <a:pt x="0" y="11813"/>
                                </a:lnTo>
                                <a:moveTo>
                                  <a:pt x="0" y="11813"/>
                                </a:moveTo>
                                <a:lnTo>
                                  <a:pt x="0" y="12247"/>
                                </a:lnTo>
                                <a:moveTo>
                                  <a:pt x="0" y="12247"/>
                                </a:moveTo>
                                <a:lnTo>
                                  <a:pt x="0" y="12679"/>
                                </a:lnTo>
                                <a:moveTo>
                                  <a:pt x="0" y="12679"/>
                                </a:moveTo>
                                <a:lnTo>
                                  <a:pt x="0" y="12931"/>
                                </a:lnTo>
                                <a:moveTo>
                                  <a:pt x="0" y="12931"/>
                                </a:moveTo>
                                <a:lnTo>
                                  <a:pt x="0" y="13185"/>
                                </a:lnTo>
                                <a:moveTo>
                                  <a:pt x="0" y="13185"/>
                                </a:moveTo>
                                <a:lnTo>
                                  <a:pt x="0" y="13437"/>
                                </a:lnTo>
                                <a:moveTo>
                                  <a:pt x="0" y="13437"/>
                                </a:moveTo>
                                <a:lnTo>
                                  <a:pt x="0" y="13692"/>
                                </a:lnTo>
                                <a:moveTo>
                                  <a:pt x="0" y="13692"/>
                                </a:moveTo>
                                <a:lnTo>
                                  <a:pt x="0" y="13944"/>
                                </a:lnTo>
                                <a:moveTo>
                                  <a:pt x="0" y="13944"/>
                                </a:moveTo>
                                <a:lnTo>
                                  <a:pt x="0" y="14227"/>
                                </a:lnTo>
                              </a:path>
                            </a:pathLst>
                          </a:custGeom>
                          <a:noFill/>
                          <a:ln w="6096">
                            <a:solidFill>
                              <a:srgbClr val="2E75B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EE72D9" id="Group 20" o:spid="_x0000_s1026" style="position:absolute;margin-left:50.75pt;margin-top:56.65pt;width:493.6pt;height:711.4pt;z-index:-252517376;mso-position-horizontal-relative:page;mso-position-vertical-relative:page" coordorigin="1015,1133" coordsize="9872,14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">
                <v:shape id="AutoShape 24" o:spid="_x0000_s1027" style="position:absolute;left:1020;top:1132;width:2;height:13944;visibility:visible;mso-wrap-style:square;v-text-anchor:top" coordsize="2,13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" path="m,l,434t,l,866t,l,1121t,l,1373t,l,1627t,l,1879t,l,2131t,l,2385t,l,2637t,l,3072t,l,3324t,l,3576t,l,3830t,l,4082t,l,4337t,l,4589t,l,5021t,l,5275t,l,5527t,l,5781t,l,6033t,l,6285t,l,6540t,l,6792t,l,7046t,l,7478t,l,7913t,l,8165t,l,8417t,l,8671t,l,8923t,l,9177t,l,9429t,l,9861t,l,10116t,l,10368t,l,10622t,l,10874t,l,11126t,l,11561t,l,11813t,l,12247t,l,12679t,l,12931t,l,13185t,l,13437t,l,13692t,l,13944e" filled="f" strokecolor="#2e75b5" strokeweight=".48pt">
                  <v:path arrowok="t" o:connecttype="custom" o:connectlocs="0,1567;0,1999;0,2254;0,2506;0,2760;0,3012;0,3264;0,3518;0,3770;0,4205;0,4457;0,4709;0,4963;0,5215;0,5470;0,5722;0,6154;0,6408;0,6660;0,6914;0,7166;0,7418;0,7673;0,7925;0,8179;0,8611;0,9046;0,9298;0,9550;0,9804;0,10056;0,10310;0,10562;0,10994;0,11249;0,11501;0,11755;0,12007;0,12259;0,12694;0,12946;0,13380;0,13812;0,14064;0,14318;0,14570;0,14825;0,15077" o:connectangles="0,0,0,0,0,0,0,0,0,0,0,0,0,0,0,0,0,0,0,0,0,0,0,0,0,0,0,0,0,0,0,0,0,0,0,0,0,0,0,0,0,0,0,0,0,0,0,0"/>
                </v:shape>
                <v:line id="Line 23" o:spid="_x0000_s1028" style="position:absolute;visibility:visible;mso-wrap-style:square" from="1025,15355" to="10877,15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" strokecolor="#2e75b5" strokeweight=".48pt"/>
                <v:line id="Line 22" o:spid="_x0000_s1029" style="position:absolute;visibility:visible;mso-wrap-style:square" from="1020,15077" to="1020,15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" strokecolor="#2e75b5" strokeweight=".48pt"/>
                <v:shape id="AutoShape 21" o:spid="_x0000_s1030" style="position:absolute;left:10881;top:1132;width:2;height:14228;visibility:visible;mso-wrap-style:square;v-text-anchor:top" coordsize="2,14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" path="m,l,434t,l,866t,l,1121t,l,1373t,l,1627t,l,1879t,l,2131t,l,2385t,l,2637t,l,3072t,l,3324t,l,3576t,l,3830t,l,4082t,l,4337t,l,4589t,l,5021t,l,5275t,l,5527t,l,5781t,l,6033t,l,6285t,l,6540t,l,6792t,l,7046t,l,7478t,l,7913t,l,8165t,l,8417t,l,8671t,l,8923t,l,9177t,l,9429t,l,9861t,l,10116t,l,10368t,l,10622t,l,10874t,l,11126t,l,11561t,l,11813t,l,12247t,l,12679t,l,12931t,l,13185t,l,13437t,l,13692t,l,13944t,l,14227e" filled="f" strokecolor="#2e75b5" strokeweight=".48pt">
                  <v:path arrowok="t" o:connecttype="custom" o:connectlocs="0,1567;0,1999;0,2254;0,2506;0,2760;0,3012;0,3264;0,3518;0,3770;0,4205;0,4457;0,4709;0,4963;0,5215;0,5470;0,5722;0,6154;0,6408;0,6660;0,6914;0,7166;0,7418;0,7673;0,7925;0,8179;0,8611;0,9046;0,9298;0,9550;0,9804;0,10056;0,10310;0,10562;0,10994;0,11249;0,11501;0,11755;0,12007;0,12259;0,12694;0,12946;0,13380;0,13812;0,14064;0,14318;0,14570;0,14825;0,15077;0,15360" o:connectangles="0,0,0,0,0,0,0,0,0,0,0,0,0,0,0,0,0,0,0,0,0,0,0,0,0,0,0,0,0,0,0,0,0,0,0,0,0,0,0,0,0,0,0,0,0,0,0,0,0"/>
                </v:shape>
                <w10:wrap anchorx="page" anchory="page"/>
              </v:group>
            </w:pict>
          </mc:Fallback>
        </mc:AlternateContent>
      </w:r>
      <w:r w:rsidR="00FD2153">
        <w:rPr>
          <w:color w:val="2E75B5"/>
        </w:rPr>
        <w:t>relevant data collections, data types, formats, and disciplines the repository works with.</w:t>
      </w:r>
    </w:p>
    <w:p w:rsidR="00AC683C" w:rsidRDefault="00FD2153">
      <w:pPr>
        <w:pStyle w:val="Ttol3"/>
        <w:spacing w:before="179"/>
        <w:rPr>
          <w:rFonts w:ascii="Arial"/>
        </w:rPr>
      </w:pPr>
      <w:r>
        <w:rPr>
          <w:rFonts w:ascii="Arial"/>
          <w:color w:val="2E75B5"/>
        </w:rPr>
        <w:t>Brief Description of the Designated Community</w:t>
      </w:r>
    </w:p>
    <w:p w:rsidR="00AC683C" w:rsidRDefault="00FD2153">
      <w:pPr>
        <w:pStyle w:val="Textindependent"/>
        <w:spacing w:before="181"/>
        <w:ind w:right="221"/>
      </w:pPr>
      <w:r>
        <w:rPr>
          <w:color w:val="2E75B5"/>
        </w:rPr>
        <w:t xml:space="preserve">As stated in the definition (see Glossary), it is possible for a repository to have a Designated Community composed of </w:t>
      </w:r>
      <w:r>
        <w:rPr>
          <w:color w:val="2E75B5"/>
        </w:rPr>
        <w:t>different ‘sub-communities’; for example, for different collections. If this is the case for an applicant, they should provide a definition and sufficiently detailed description of each of these sub-communities. In addition, it is important to note that th</w:t>
      </w:r>
      <w:r>
        <w:rPr>
          <w:color w:val="2E75B5"/>
        </w:rPr>
        <w:t>e Designated Community may be smaller than the overall group of users for a repository. The digital collections of a natural history museum may be appealing to a wide group of interested users, including the general public. Nevertheless, the museum may def</w:t>
      </w:r>
      <w:r>
        <w:rPr>
          <w:color w:val="2E75B5"/>
        </w:rPr>
        <w:t xml:space="preserve">ine its Designated Community as narrower than this (e.g., </w:t>
      </w:r>
      <w:r>
        <w:rPr>
          <w:i/>
          <w:color w:val="2E75B5"/>
        </w:rPr>
        <w:t>biologists and anthropologists researching topics from the field of natural history</w:t>
      </w:r>
      <w:r>
        <w:rPr>
          <w:color w:val="2E75B5"/>
        </w:rPr>
        <w:t>).</w:t>
      </w:r>
    </w:p>
    <w:p w:rsidR="00AC683C" w:rsidRDefault="00FD2153">
      <w:pPr>
        <w:pStyle w:val="Textindependent"/>
        <w:spacing w:before="182"/>
        <w:ind w:right="233"/>
      </w:pPr>
      <w:r>
        <w:rPr>
          <w:color w:val="2E75B5"/>
        </w:rPr>
        <w:t>To serve its Designated Community well, a repository has to have a deep understanding of the Designated Communit</w:t>
      </w:r>
      <w:r>
        <w:rPr>
          <w:color w:val="2E75B5"/>
        </w:rPr>
        <w:t xml:space="preserve">y’s composition, skills, knowledge base, and needs, and how these may transform over time. Throughout the application, evidence should demonstrate an understanding of what the curation requirements are (additional context, preferred formats, etc.) to best </w:t>
      </w:r>
      <w:r>
        <w:rPr>
          <w:color w:val="2E75B5"/>
        </w:rPr>
        <w:t>serve the Designated Community (including respective sub-communities, if applicable), alongside a demonstration that the applicant monitors and responds to changes in the needs of the Designated Community.</w:t>
      </w:r>
    </w:p>
    <w:p w:rsidR="00AC683C" w:rsidRDefault="00FD2153">
      <w:pPr>
        <w:pStyle w:val="Textindependent"/>
        <w:spacing w:before="178"/>
        <w:ind w:right="282"/>
      </w:pPr>
      <w:r>
        <w:rPr>
          <w:color w:val="2E75B5"/>
        </w:rPr>
        <w:t>A repository with a highly specific, narrow Design</w:t>
      </w:r>
      <w:r>
        <w:rPr>
          <w:color w:val="2E75B5"/>
        </w:rPr>
        <w:t xml:space="preserve">ated Community might easily state the expected knowledge base (e.g., the degree of understanding of genetics, or the level of expertise in using statistical software). In contrast, a broad Designated Community (i.e., composed of multiple user communities) </w:t>
      </w:r>
      <w:r>
        <w:rPr>
          <w:color w:val="2E75B5"/>
        </w:rPr>
        <w:t>means that the repository should have a sufficient understanding of all their knowledge bases and offer a wide range of contextual documentation to ensure its data can be understood by everyone within the Designated Community. With regard to defining the D</w:t>
      </w:r>
      <w:r>
        <w:rPr>
          <w:color w:val="2E75B5"/>
        </w:rPr>
        <w:t>esignated Community’s knowledge base, applicants should explicitly state any tacit assumptions, such as (foreign) language skills, ability to access specific Operating Systems or Internet browsers, use certain software, and so on.</w:t>
      </w:r>
    </w:p>
    <w:p w:rsidR="00AC683C" w:rsidRDefault="00FD2153">
      <w:pPr>
        <w:pStyle w:val="Ttol3"/>
        <w:spacing w:before="178"/>
        <w:rPr>
          <w:rFonts w:ascii="Arial"/>
        </w:rPr>
      </w:pPr>
      <w:r>
        <w:rPr>
          <w:rFonts w:ascii="Arial"/>
          <w:color w:val="2E75B5"/>
        </w:rPr>
        <w:t>Level of Curation Perform</w:t>
      </w:r>
      <w:r>
        <w:rPr>
          <w:rFonts w:ascii="Arial"/>
          <w:color w:val="2E75B5"/>
        </w:rPr>
        <w:t>ed</w:t>
      </w:r>
    </w:p>
    <w:p w:rsidR="00AC683C" w:rsidRDefault="00FD2153">
      <w:pPr>
        <w:pStyle w:val="Textindependent"/>
        <w:spacing w:before="184"/>
        <w:ind w:right="245"/>
      </w:pPr>
      <w:r>
        <w:rPr>
          <w:color w:val="2E75B5"/>
        </w:rPr>
        <w:t>More than one option (A, B, C, or D) of the level (or extent) of curation can be selected, depending on the type of data and curation terms agreed with the depositor. When a repository performs curation at more than one level, further information should</w:t>
      </w:r>
      <w:r>
        <w:rPr>
          <w:color w:val="2E75B5"/>
        </w:rPr>
        <w:t xml:space="preserve"> be added on the proportion of the data in the collection curated to the respective levels. Responses to the Requirements should then address how the curation workflows reflect the different curation levels, and how curation levels relate to preservation l</w:t>
      </w:r>
      <w:r>
        <w:rPr>
          <w:color w:val="2E75B5"/>
        </w:rPr>
        <w:t>evels. For instance, are preservation goals and actions the same for all data, regardless of the curation</w:t>
      </w:r>
      <w:r>
        <w:rPr>
          <w:color w:val="2E75B5"/>
          <w:spacing w:val="-3"/>
        </w:rPr>
        <w:t xml:space="preserve"> </w:t>
      </w:r>
      <w:r>
        <w:rPr>
          <w:color w:val="2E75B5"/>
        </w:rPr>
        <w:t>level.</w:t>
      </w:r>
    </w:p>
    <w:p w:rsidR="00AC683C" w:rsidRDefault="00FD2153">
      <w:pPr>
        <w:pStyle w:val="Textindependent"/>
        <w:spacing w:before="178"/>
        <w:ind w:right="381"/>
      </w:pPr>
      <w:r>
        <w:rPr>
          <w:color w:val="2E75B5"/>
        </w:rPr>
        <w:t>In addition to stating curation levels, a repository must therefore demonstrate that it assures long- term accessibility of data as the needs o</w:t>
      </w:r>
      <w:r>
        <w:rPr>
          <w:color w:val="2E75B5"/>
        </w:rPr>
        <w:t>f the Designated Community change. This is less likely to be possible at curation levels A or B, because without normalizing submitted file formats to a common preservation format, it may be difficult to perform format migrations in the future depending on</w:t>
      </w:r>
      <w:r>
        <w:rPr>
          <w:color w:val="2E75B5"/>
        </w:rPr>
        <w:t xml:space="preserve"> the heterogeneity of the collection. Similarly, lack of rich metadata and documentation may pose a risk concerning the continued usability of the data.</w:t>
      </w:r>
    </w:p>
    <w:p w:rsidR="00AC683C" w:rsidRDefault="00FD2153">
      <w:pPr>
        <w:pStyle w:val="Textindependent"/>
        <w:spacing w:before="181"/>
        <w:ind w:right="760"/>
      </w:pPr>
      <w:r>
        <w:rPr>
          <w:color w:val="2E75B5"/>
        </w:rPr>
        <w:t>Reviewers will expect a higher level of formal provenance, integrity, and version management (change lo</w:t>
      </w:r>
      <w:r>
        <w:rPr>
          <w:color w:val="2E75B5"/>
        </w:rPr>
        <w:t>gs, etc.) as curation levels progress from A through to D.</w:t>
      </w:r>
    </w:p>
    <w:p w:rsidR="00AC683C" w:rsidRDefault="00FD2153">
      <w:pPr>
        <w:pStyle w:val="Ttol3"/>
        <w:spacing w:before="178"/>
        <w:rPr>
          <w:rFonts w:ascii="Arial"/>
        </w:rPr>
      </w:pPr>
      <w:r>
        <w:rPr>
          <w:rFonts w:ascii="Arial"/>
          <w:color w:val="2E75B5"/>
        </w:rPr>
        <w:t>Insource/Outsource Partners</w:t>
      </w:r>
    </w:p>
    <w:p w:rsidR="00AC683C" w:rsidRDefault="00FD2153">
      <w:pPr>
        <w:pStyle w:val="Textindependent"/>
        <w:spacing w:before="182"/>
        <w:ind w:right="233"/>
      </w:pPr>
      <w:r>
        <w:rPr>
          <w:color w:val="2E75B5"/>
        </w:rPr>
        <w:t>If more than one partner is involved, a diagram to indicate the full scale of the insourcing/outsourcing process is useful to assist the reviewers. Having multiple insou</w:t>
      </w:r>
      <w:r>
        <w:rPr>
          <w:color w:val="2E75B5"/>
        </w:rPr>
        <w:t>rcing/outsource partners (e.g., one for storage, one for maintaining websites) is acceptable as long as all of the relationships are clearly indicated. Reviewers will ask for the response in this section to be revised if the evidence statements later in th</w:t>
      </w:r>
      <w:r>
        <w:rPr>
          <w:color w:val="2E75B5"/>
        </w:rPr>
        <w:t>e application refer to entities not mentioned here.</w:t>
      </w:r>
    </w:p>
    <w:p w:rsidR="00AC683C" w:rsidRDefault="00AC683C">
      <w:pPr>
        <w:sectPr w:rsidR="00AC683C">
          <w:pgSz w:w="11910" w:h="16840"/>
          <w:pgMar w:top="1020" w:right="900" w:bottom="1060" w:left="900" w:header="724" w:footer="860" w:gutter="0"/>
          <w:cols w:space="720"/>
        </w:sectPr>
      </w:pPr>
    </w:p>
    <w:p w:rsidR="00AC683C" w:rsidRDefault="00AC683C">
      <w:pPr>
        <w:pStyle w:val="Textindependent"/>
        <w:spacing w:before="3"/>
        <w:ind w:left="0"/>
        <w:rPr>
          <w:rFonts w:ascii="Times New Roman"/>
          <w:sz w:val="8"/>
        </w:rPr>
      </w:pPr>
    </w:p>
    <w:p w:rsidR="00AC683C" w:rsidRDefault="000A2A0E">
      <w:pPr>
        <w:pStyle w:val="Textindependent"/>
        <w:ind w:left="115"/>
        <w:rPr>
          <w:rFonts w:ascii="Times New Roman"/>
          <w:sz w:val="20"/>
        </w:rPr>
      </w:pPr>
      <w:r>
        <w:rPr>
          <w:rFonts w:ascii="Times New Roman"/>
          <w:noProof/>
          <w:sz w:val="20"/>
          <w:lang w:val="es-ES" w:eastAsia="es-ES" w:bidi="ar-SA"/>
        </w:rPr>
        <mc:AlternateContent>
          <mc:Choice Requires="wps">
            <w:drawing>
              <wp:inline distT="0" distB="0" distL="0" distR="0">
                <wp:extent cx="6262370" cy="951230"/>
                <wp:effectExtent l="6350" t="12700" r="8255" b="7620"/>
                <wp:docPr id="20"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2370" cy="951230"/>
                        </a:xfrm>
                        <a:prstGeom prst="rect">
                          <a:avLst/>
                        </a:prstGeom>
                        <a:noFill/>
                        <a:ln w="6096">
                          <a:solidFill>
                            <a:srgbClr val="2E75B5"/>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AC683C" w:rsidRDefault="00FD2153">
                            <w:pPr>
                              <w:spacing w:before="14"/>
                              <w:ind w:left="107"/>
                              <w:rPr>
                                <w:b/>
                              </w:rPr>
                            </w:pPr>
                            <w:r>
                              <w:rPr>
                                <w:b/>
                                <w:color w:val="2E75B5"/>
                              </w:rPr>
                              <w:t>Other Relevant Information</w:t>
                            </w:r>
                          </w:p>
                          <w:p w:rsidR="00AC683C" w:rsidRDefault="00FD2153">
                            <w:pPr>
                              <w:pStyle w:val="Textindependent"/>
                              <w:spacing w:before="184"/>
                              <w:ind w:left="107" w:right="90"/>
                            </w:pPr>
                            <w:r>
                              <w:rPr>
                                <w:color w:val="2E75B5"/>
                              </w:rPr>
                              <w:t>A repository might refer here to its re3data record (</w:t>
                            </w:r>
                            <w:hyperlink r:id="rId16">
                              <w:r>
                                <w:rPr>
                                  <w:color w:val="1155CC"/>
                                  <w:u w:val="single" w:color="1155CC"/>
                                </w:rPr>
                                <w:t>http://www.re3data.org/</w:t>
                              </w:r>
                            </w:hyperlink>
                            <w:r>
                              <w:rPr>
                                <w:color w:val="2E75B5"/>
                              </w:rPr>
                              <w:t>), number of staff, size of collection, average number of downloads, its evolution over time, business or funding model, and so on. A clear and consistent description about the organizational approach as a whole is generally helpful.</w:t>
                            </w:r>
                          </w:p>
                        </w:txbxContent>
                      </wps:txbx>
                      <wps:bodyPr rot="0" vert="horz" wrap="square" lIns="0" tIns="0" rIns="0" bIns="0" anchor="t" anchorCtr="0" upright="1">
                        <a:noAutofit/>
                      </wps:bodyPr>
                    </wps:wsp>
                  </a:graphicData>
                </a:graphic>
              </wp:inline>
            </w:drawing>
          </mc:Choice>
          <mc:Fallback>
            <w:pict>
              <v:shape id="Text Box 19" o:spid="_x0000_s1051" type="#_x0000_t202" style="width:493.1pt;height:7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" filled="f" strokecolor="#2e75b5" strokeweight=".48pt">
                <v:textbox inset="0,0,0,0">
                  <w:txbxContent>
                    <w:p w:rsidR="00AC683C" w:rsidRDefault="00FD2153">
                      <w:pPr>
                        <w:spacing w:before="14"/>
                        <w:ind w:left="107"/>
                        <w:rPr>
                          <w:b/>
                        </w:rPr>
                      </w:pPr>
                      <w:r>
                        <w:rPr>
                          <w:b/>
                          <w:color w:val="2E75B5"/>
                        </w:rPr>
                        <w:t>Other Relevant Information</w:t>
                      </w:r>
                    </w:p>
                    <w:p w:rsidR="00AC683C" w:rsidRDefault="00FD2153">
                      <w:pPr>
                        <w:pStyle w:val="Textindependent"/>
                        <w:spacing w:before="184"/>
                        <w:ind w:left="107" w:right="90"/>
                      </w:pPr>
                      <w:r>
                        <w:rPr>
                          <w:color w:val="2E75B5"/>
                        </w:rPr>
                        <w:t>A repository might refer here to its re3data record (</w:t>
                      </w:r>
                      <w:hyperlink r:id="rId17">
                        <w:r>
                          <w:rPr>
                            <w:color w:val="1155CC"/>
                            <w:u w:val="single" w:color="1155CC"/>
                          </w:rPr>
                          <w:t>http://www.re3data.org/</w:t>
                        </w:r>
                      </w:hyperlink>
                      <w:r>
                        <w:rPr>
                          <w:color w:val="2E75B5"/>
                        </w:rPr>
                        <w:t>), number of staff, size of collection, average number of downloads, its evolution over time, business or funding model, and so on. A clear and consistent description about the organizational approach as a whole is generally helpful.</w:t>
                      </w:r>
                    </w:p>
                  </w:txbxContent>
                </v:textbox>
                <w10:anchorlock/>
              </v:shape>
            </w:pict>
          </mc:Fallback>
        </mc:AlternateContent>
      </w:r>
    </w:p>
    <w:p w:rsidR="00AC683C" w:rsidRDefault="00AC683C">
      <w:pPr>
        <w:rPr>
          <w:rFonts w:ascii="Times New Roman"/>
          <w:sz w:val="20"/>
        </w:rPr>
        <w:sectPr w:rsidR="00AC683C">
          <w:pgSz w:w="11910" w:h="16840"/>
          <w:pgMar w:top="1020" w:right="900" w:bottom="1060" w:left="900" w:header="724" w:footer="860" w:gutter="0"/>
          <w:cols w:space="720"/>
        </w:sectPr>
      </w:pPr>
    </w:p>
    <w:p w:rsidR="00AC683C" w:rsidRDefault="00FD2153">
      <w:pPr>
        <w:spacing w:before="92"/>
        <w:ind w:left="232"/>
        <w:rPr>
          <w:b/>
          <w:sz w:val="28"/>
        </w:rPr>
      </w:pPr>
      <w:bookmarkStart w:id="29" w:name="Organizational_Infrastructure"/>
      <w:bookmarkStart w:id="30" w:name="_bookmark14"/>
      <w:bookmarkEnd w:id="29"/>
      <w:bookmarkEnd w:id="30"/>
      <w:r>
        <w:rPr>
          <w:b/>
          <w:sz w:val="28"/>
        </w:rPr>
        <w:lastRenderedPageBreak/>
        <w:t>Organizational Infrastructure</w:t>
      </w:r>
    </w:p>
    <w:p w:rsidR="00AC683C" w:rsidRDefault="00FD2153">
      <w:pPr>
        <w:pStyle w:val="Pargrafdellista"/>
        <w:numPr>
          <w:ilvl w:val="0"/>
          <w:numId w:val="2"/>
        </w:numPr>
        <w:tabs>
          <w:tab w:val="left" w:pos="521"/>
        </w:tabs>
        <w:spacing w:before="121"/>
        <w:rPr>
          <w:b/>
          <w:sz w:val="26"/>
        </w:rPr>
      </w:pPr>
      <w:bookmarkStart w:id="31" w:name="1._Mission/Scope"/>
      <w:bookmarkStart w:id="32" w:name="_bookmark15"/>
      <w:bookmarkEnd w:id="31"/>
      <w:bookmarkEnd w:id="32"/>
      <w:r>
        <w:rPr>
          <w:b/>
          <w:sz w:val="26"/>
        </w:rPr>
        <w:t>Mission/Scope</w:t>
      </w:r>
    </w:p>
    <w:p w:rsidR="00AC683C" w:rsidRDefault="00FD2153">
      <w:pPr>
        <w:pStyle w:val="Ttol3"/>
        <w:spacing w:before="110"/>
        <w:ind w:right="908"/>
      </w:pPr>
      <w:r>
        <w:rPr>
          <w:color w:val="ED7D31"/>
        </w:rPr>
        <w:t>R1. The repository has an explicit mission to provide access to and preserve data in its domain.</w:t>
      </w:r>
    </w:p>
    <w:p w:rsidR="00AC683C" w:rsidRDefault="00FD2153">
      <w:pPr>
        <w:pStyle w:val="Textindependent"/>
        <w:spacing w:before="71"/>
      </w:pPr>
      <w:r>
        <w:t>Compliance Level:</w:t>
      </w:r>
    </w:p>
    <w:p w:rsidR="00AC683C" w:rsidRDefault="00FD2153">
      <w:pPr>
        <w:pStyle w:val="Ttol3"/>
        <w:spacing w:before="179"/>
        <w:rPr>
          <w:rFonts w:ascii="Arial"/>
        </w:rPr>
      </w:pPr>
      <w:r>
        <w:rPr>
          <w:rFonts w:ascii="Arial"/>
          <w:color w:val="538135"/>
        </w:rPr>
        <w:t>Response</w:t>
      </w:r>
    </w:p>
    <w:p w:rsidR="00AC683C" w:rsidRDefault="00FD2153">
      <w:pPr>
        <w:pStyle w:val="Ttol2"/>
        <w:spacing w:before="179"/>
      </w:pPr>
      <w:r>
        <w:t>Guidance:</w:t>
      </w:r>
    </w:p>
    <w:p w:rsidR="00AC683C" w:rsidRDefault="00FD2153">
      <w:pPr>
        <w:pStyle w:val="Textindependent"/>
        <w:spacing w:before="122"/>
        <w:ind w:right="282"/>
      </w:pPr>
      <w:r>
        <w:t xml:space="preserve">Repositories take </w:t>
      </w:r>
      <w:r>
        <w:t>responsibility for stewardship of digital objects, and for ensuring that materials are held in the appropriate environment for appropriate periods of time. Depositors and users must be clear that preservation of and continued access to the data is an expli</w:t>
      </w:r>
      <w:r>
        <w:t>cit role of the repository.</w:t>
      </w:r>
    </w:p>
    <w:p w:rsidR="00AC683C" w:rsidRDefault="00FD2153">
      <w:pPr>
        <w:pStyle w:val="Textindependent"/>
        <w:spacing w:before="180"/>
      </w:pPr>
      <w:r>
        <w:t>For this Requirement, please describe:</w:t>
      </w:r>
    </w:p>
    <w:p w:rsidR="00AC683C" w:rsidRDefault="00FD2153">
      <w:pPr>
        <w:pStyle w:val="Pargrafdellista"/>
        <w:numPr>
          <w:ilvl w:val="1"/>
          <w:numId w:val="2"/>
        </w:numPr>
        <w:tabs>
          <w:tab w:val="left" w:pos="952"/>
          <w:tab w:val="left" w:pos="954"/>
        </w:tabs>
        <w:spacing w:before="181"/>
        <w:ind w:right="280"/>
      </w:pPr>
      <w:r>
        <w:t>Your organization’s mission in preserving and providing access to data, and include links to explicit statements of this</w:t>
      </w:r>
      <w:r>
        <w:rPr>
          <w:spacing w:val="2"/>
        </w:rPr>
        <w:t xml:space="preserve"> </w:t>
      </w:r>
      <w:r>
        <w:t>mission.</w:t>
      </w:r>
    </w:p>
    <w:p w:rsidR="00AC683C" w:rsidRDefault="00FD2153">
      <w:pPr>
        <w:pStyle w:val="Pargrafdellista"/>
        <w:numPr>
          <w:ilvl w:val="1"/>
          <w:numId w:val="2"/>
        </w:numPr>
        <w:tabs>
          <w:tab w:val="left" w:pos="952"/>
          <w:tab w:val="left" w:pos="953"/>
        </w:tabs>
        <w:spacing w:before="178"/>
        <w:ind w:left="952"/>
      </w:pPr>
      <w:r>
        <w:t xml:space="preserve">The level of approval that the mission has received within </w:t>
      </w:r>
      <w:r>
        <w:t>the</w:t>
      </w:r>
      <w:r>
        <w:rPr>
          <w:spacing w:val="-14"/>
        </w:rPr>
        <w:t xml:space="preserve"> </w:t>
      </w:r>
      <w:r>
        <w:t>organization.</w:t>
      </w:r>
    </w:p>
    <w:p w:rsidR="00AC683C" w:rsidRDefault="00FD2153">
      <w:pPr>
        <w:pStyle w:val="Textindependent"/>
        <w:spacing w:before="181"/>
        <w:ind w:right="380"/>
      </w:pPr>
      <w:r>
        <w:t>Evidence for this Requirement could take the form of an approved public mission statement, roles mandated by funders, policy statement signed off by governing board.</w:t>
      </w:r>
    </w:p>
    <w:p w:rsidR="00AC683C" w:rsidRDefault="000A2A0E">
      <w:pPr>
        <w:pStyle w:val="Ttol2"/>
        <w:spacing w:before="179"/>
      </w:pPr>
      <w:r>
        <w:rPr>
          <w:noProof/>
          <w:lang w:val="es-ES" w:eastAsia="es-ES" w:bidi="ar-SA"/>
        </w:rPr>
        <mc:AlternateContent>
          <mc:Choice Requires="wps">
            <w:drawing>
              <wp:anchor distT="0" distB="0" distL="0" distR="0" simplePos="0" relativeHeight="251676672" behindDoc="1" locked="0" layoutInCell="1" allowOverlap="1">
                <wp:simplePos x="0" y="0"/>
                <wp:positionH relativeFrom="page">
                  <wp:posOffset>647700</wp:posOffset>
                </wp:positionH>
                <wp:positionV relativeFrom="paragraph">
                  <wp:posOffset>370840</wp:posOffset>
                </wp:positionV>
                <wp:extent cx="6262370" cy="352425"/>
                <wp:effectExtent l="0" t="0" r="0" b="0"/>
                <wp:wrapTopAndBottom/>
                <wp:docPr id="19"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2370" cy="352425"/>
                        </a:xfrm>
                        <a:prstGeom prst="rect">
                          <a:avLst/>
                        </a:prstGeom>
                        <a:noFill/>
                        <a:ln w="6096">
                          <a:solidFill>
                            <a:srgbClr val="2E75B5"/>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AC683C" w:rsidRDefault="00FD2153">
                            <w:pPr>
                              <w:pStyle w:val="Textindependent"/>
                              <w:spacing w:before="17"/>
                              <w:ind w:left="107" w:right="138"/>
                            </w:pPr>
                            <w:r>
                              <w:rPr>
                                <w:color w:val="2E75B5"/>
                              </w:rPr>
                              <w:t>If data preservation is not referred to in the mission of the repository, then this Requirement cannot have a Compliance Level of 3 or higher.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52" type="#_x0000_t202" style="position:absolute;left:0;text-align:left;margin-left:51pt;margin-top:29.2pt;width:493.1pt;height:27.75pt;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" filled="f" strokecolor="#2e75b5" strokeweight=".48pt">
                <v:textbox inset="0,0,0,0">
                  <w:txbxContent>
                    <w:p w:rsidR="00AC683C" w:rsidRDefault="00FD2153">
                      <w:pPr>
                        <w:pStyle w:val="Textindependent"/>
                        <w:spacing w:before="17"/>
                        <w:ind w:left="107" w:right="138"/>
                      </w:pPr>
                      <w:r>
                        <w:rPr>
                          <w:color w:val="2E75B5"/>
                        </w:rPr>
                        <w:t>If data preservation is not referred to in the mission of the repository, then this Requirement cannot have a Compliance Level of 3 or higher.</w:t>
                      </w:r>
                    </w:p>
                  </w:txbxContent>
                </v:textbox>
                <w10:wrap type="topAndBottom" anchorx="page"/>
              </v:shape>
            </w:pict>
          </mc:Fallback>
        </mc:AlternateContent>
      </w:r>
      <w:bookmarkStart w:id="33" w:name="Extended_Guidance_R1."/>
      <w:bookmarkEnd w:id="33"/>
      <w:r w:rsidR="00FD2153">
        <w:t>Extended Guidance R1.</w:t>
      </w:r>
    </w:p>
    <w:p w:rsidR="00AC683C" w:rsidRDefault="00AC683C">
      <w:pPr>
        <w:sectPr w:rsidR="00AC683C">
          <w:pgSz w:w="11910" w:h="16840"/>
          <w:pgMar w:top="1020" w:right="900" w:bottom="1060" w:left="900" w:header="724" w:footer="860" w:gutter="0"/>
          <w:cols w:space="720"/>
        </w:sectPr>
      </w:pPr>
    </w:p>
    <w:p w:rsidR="00AC683C" w:rsidRDefault="00FD2153">
      <w:pPr>
        <w:pStyle w:val="Pargrafdellista"/>
        <w:numPr>
          <w:ilvl w:val="0"/>
          <w:numId w:val="2"/>
        </w:numPr>
        <w:tabs>
          <w:tab w:val="left" w:pos="521"/>
        </w:tabs>
        <w:spacing w:before="91"/>
        <w:rPr>
          <w:b/>
          <w:sz w:val="26"/>
        </w:rPr>
      </w:pPr>
      <w:bookmarkStart w:id="34" w:name="2._Licenses"/>
      <w:bookmarkStart w:id="35" w:name="_bookmark16"/>
      <w:bookmarkEnd w:id="34"/>
      <w:bookmarkEnd w:id="35"/>
      <w:r>
        <w:rPr>
          <w:b/>
          <w:sz w:val="26"/>
        </w:rPr>
        <w:lastRenderedPageBreak/>
        <w:t>Licenses</w:t>
      </w:r>
    </w:p>
    <w:p w:rsidR="00AC683C" w:rsidRDefault="00FD2153">
      <w:pPr>
        <w:pStyle w:val="Ttol3"/>
        <w:ind w:right="1070"/>
      </w:pPr>
      <w:r>
        <w:rPr>
          <w:color w:val="ED7D31"/>
        </w:rPr>
        <w:t>R2. The repository maintains all applicable licenses covering da</w:t>
      </w:r>
      <w:r>
        <w:rPr>
          <w:color w:val="ED7D31"/>
        </w:rPr>
        <w:t>ta access and use and monitors compliance.</w:t>
      </w:r>
    </w:p>
    <w:p w:rsidR="00AC683C" w:rsidRDefault="00FD2153">
      <w:pPr>
        <w:pStyle w:val="Textindependent"/>
        <w:spacing w:before="70"/>
      </w:pPr>
      <w:r>
        <w:t>Compliance Level:</w:t>
      </w:r>
    </w:p>
    <w:p w:rsidR="00AC683C" w:rsidRDefault="00FD2153">
      <w:pPr>
        <w:pStyle w:val="Ttol3"/>
        <w:spacing w:before="177"/>
        <w:rPr>
          <w:rFonts w:ascii="Arial"/>
        </w:rPr>
      </w:pPr>
      <w:r>
        <w:rPr>
          <w:rFonts w:ascii="Arial"/>
          <w:color w:val="538135"/>
        </w:rPr>
        <w:t>Response</w:t>
      </w:r>
    </w:p>
    <w:p w:rsidR="00AC683C" w:rsidRDefault="00FD2153">
      <w:pPr>
        <w:pStyle w:val="Ttol2"/>
      </w:pPr>
      <w:r>
        <w:t>Guidance:</w:t>
      </w:r>
    </w:p>
    <w:p w:rsidR="00AC683C" w:rsidRDefault="00FD2153">
      <w:pPr>
        <w:pStyle w:val="Textindependent"/>
        <w:spacing w:before="122"/>
        <w:ind w:right="417"/>
      </w:pPr>
      <w:r>
        <w:t>Repositories must have an appropriate rights model covering data access and use, communicate about them with users, and monitor compliance. This Requirement relates to the acce</w:t>
      </w:r>
      <w:r>
        <w:t xml:space="preserve">ss regulations and applicable licenses set by the data repository itself, as well as any codes of conduct that are generally accepted in the relevant sector for the exchange and proper use of knowledge and information. Evidence should demonstrate that the </w:t>
      </w:r>
      <w:r>
        <w:t>repository has sufficient controls in place according to the access criteria of their data holdings, as well as evidence that any relevant licenses or processes are well managed.</w:t>
      </w:r>
    </w:p>
    <w:p w:rsidR="00AC683C" w:rsidRDefault="00FD2153">
      <w:pPr>
        <w:pStyle w:val="Textindependent"/>
        <w:spacing w:before="180"/>
      </w:pPr>
      <w:r>
        <w:t>For this Requirement, please describe:</w:t>
      </w:r>
    </w:p>
    <w:p w:rsidR="00AC683C" w:rsidRDefault="00FD2153">
      <w:pPr>
        <w:pStyle w:val="Pargrafdellista"/>
        <w:numPr>
          <w:ilvl w:val="1"/>
          <w:numId w:val="2"/>
        </w:numPr>
        <w:tabs>
          <w:tab w:val="left" w:pos="952"/>
          <w:tab w:val="left" w:pos="954"/>
        </w:tabs>
        <w:spacing w:before="179" w:line="253" w:lineRule="exact"/>
        <w:ind w:hanging="362"/>
      </w:pPr>
      <w:r>
        <w:t>License agreements in</w:t>
      </w:r>
      <w:r>
        <w:rPr>
          <w:spacing w:val="-3"/>
        </w:rPr>
        <w:t xml:space="preserve"> </w:t>
      </w:r>
      <w:r>
        <w:t>use.</w:t>
      </w:r>
    </w:p>
    <w:p w:rsidR="00AC683C" w:rsidRDefault="00FD2153">
      <w:pPr>
        <w:pStyle w:val="Pargrafdellista"/>
        <w:numPr>
          <w:ilvl w:val="1"/>
          <w:numId w:val="2"/>
        </w:numPr>
        <w:tabs>
          <w:tab w:val="left" w:pos="952"/>
          <w:tab w:val="left" w:pos="953"/>
        </w:tabs>
        <w:ind w:left="952" w:right="785"/>
      </w:pPr>
      <w:r>
        <w:t>Conditions of use (Intellectual Property Rights, distribution, intended use, protection of sensitive data,</w:t>
      </w:r>
      <w:r>
        <w:rPr>
          <w:spacing w:val="-2"/>
        </w:rPr>
        <w:t xml:space="preserve"> </w:t>
      </w:r>
      <w:r>
        <w:t>etc.).</w:t>
      </w:r>
    </w:p>
    <w:p w:rsidR="00AC683C" w:rsidRDefault="00FD2153">
      <w:pPr>
        <w:pStyle w:val="Pargrafdellista"/>
        <w:numPr>
          <w:ilvl w:val="1"/>
          <w:numId w:val="2"/>
        </w:numPr>
        <w:tabs>
          <w:tab w:val="left" w:pos="952"/>
          <w:tab w:val="left" w:pos="953"/>
        </w:tabs>
        <w:spacing w:before="1"/>
        <w:ind w:left="952" w:right="502"/>
      </w:pPr>
      <w:r>
        <w:t>Documentation on measures in the case of noncompliance with conditions of access and use.</w:t>
      </w:r>
    </w:p>
    <w:p w:rsidR="00AC683C" w:rsidRDefault="00FD2153">
      <w:pPr>
        <w:pStyle w:val="Textindependent"/>
        <w:spacing w:before="180"/>
        <w:ind w:right="244"/>
        <w:jc w:val="both"/>
      </w:pPr>
      <w:r>
        <w:t>Note that if all data holdings are completely public and without conditions imposed on users—such as attribution requirements or agreement to make secondary analysis openly available—then it can simply be stated.</w:t>
      </w:r>
    </w:p>
    <w:p w:rsidR="00AC683C" w:rsidRDefault="00FD2153">
      <w:pPr>
        <w:pStyle w:val="Textindependent"/>
        <w:spacing w:before="180"/>
        <w:ind w:right="380"/>
      </w:pPr>
      <w:r>
        <w:t>The ethical and privacy provisions that imp</w:t>
      </w:r>
      <w:r>
        <w:t>act on licenses are dealt with in R4 (Confidentiality/Ethics). Assurance that deposit licenses provide sufficient rights for the repository to maintain, preserve, and offer access to data should be covered under R10 (Preservation Plan).</w:t>
      </w:r>
    </w:p>
    <w:p w:rsidR="00AC683C" w:rsidRDefault="000A2A0E">
      <w:pPr>
        <w:pStyle w:val="Ttol2"/>
        <w:spacing w:before="177"/>
        <w:jc w:val="both"/>
      </w:pPr>
      <w:r>
        <w:rPr>
          <w:noProof/>
          <w:lang w:val="es-ES" w:eastAsia="es-ES" w:bidi="ar-SA"/>
        </w:rPr>
        <mc:AlternateContent>
          <mc:Choice Requires="wps">
            <w:drawing>
              <wp:anchor distT="0" distB="0" distL="0" distR="0" simplePos="0" relativeHeight="251677696" behindDoc="1" locked="0" layoutInCell="1" allowOverlap="1">
                <wp:simplePos x="0" y="0"/>
                <wp:positionH relativeFrom="page">
                  <wp:posOffset>647700</wp:posOffset>
                </wp:positionH>
                <wp:positionV relativeFrom="paragraph">
                  <wp:posOffset>369570</wp:posOffset>
                </wp:positionV>
                <wp:extent cx="6262370" cy="2350135"/>
                <wp:effectExtent l="0" t="0" r="0" b="0"/>
                <wp:wrapTopAndBottom/>
                <wp:docPr id="1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2370" cy="2350135"/>
                        </a:xfrm>
                        <a:prstGeom prst="rect">
                          <a:avLst/>
                        </a:prstGeom>
                        <a:noFill/>
                        <a:ln w="6096">
                          <a:solidFill>
                            <a:srgbClr val="2E75B5"/>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AC683C" w:rsidRDefault="00FD2153">
                            <w:pPr>
                              <w:pStyle w:val="Textindependent"/>
                              <w:spacing w:before="17"/>
                              <w:ind w:left="107" w:right="186"/>
                            </w:pPr>
                            <w:r>
                              <w:rPr>
                                <w:color w:val="2E75B5"/>
                              </w:rPr>
                              <w:t xml:space="preserve">Stipulations on </w:t>
                            </w:r>
                            <w:r>
                              <w:rPr>
                                <w:color w:val="2E75B5"/>
                              </w:rPr>
                              <w:t xml:space="preserve">data access and use could be defined in a set of standard terms and conditions, or differentiated by depositor or dataset. For sensitive data, in particular, licenses may specify limitations on use, usage environment (safe room, secure remote access), and </w:t>
                            </w:r>
                            <w:r>
                              <w:rPr>
                                <w:color w:val="2E75B5"/>
                              </w:rPr>
                              <w:t>types of users (approved researcher, has received training, etc.). Popular license options include, but are not limited to, those offered by Creative Commons (</w:t>
                            </w:r>
                            <w:hyperlink r:id="rId18">
                              <w:r>
                                <w:rPr>
                                  <w:color w:val="1155CC"/>
                                  <w:u w:val="single" w:color="1155CC"/>
                                </w:rPr>
                                <w:t>https://creativecommons.org/</w:t>
                              </w:r>
                            </w:hyperlink>
                            <w:r>
                              <w:rPr>
                                <w:rFonts w:ascii="Verdana" w:hAnsi="Verdana"/>
                                <w:color w:val="2E75B5"/>
                                <w:sz w:val="18"/>
                              </w:rPr>
                              <w:t xml:space="preserve">) </w:t>
                            </w:r>
                            <w:r>
                              <w:rPr>
                                <w:color w:val="2E75B5"/>
                              </w:rPr>
                              <w:t>such as ‘CC 0 Waive</w:t>
                            </w:r>
                            <w:r>
                              <w:rPr>
                                <w:color w:val="2E75B5"/>
                              </w:rPr>
                              <w:t>r’ and ‘public domain data’ licenses.</w:t>
                            </w:r>
                          </w:p>
                          <w:p w:rsidR="00AC683C" w:rsidRDefault="00FD2153">
                            <w:pPr>
                              <w:pStyle w:val="Textindependent"/>
                              <w:spacing w:before="181"/>
                              <w:ind w:left="107" w:right="149"/>
                            </w:pPr>
                            <w:r>
                              <w:rPr>
                                <w:color w:val="2E75B5"/>
                              </w:rPr>
                              <w:t xml:space="preserve">While it may be challenging to identify instances of noncompliance, consideration should be given to the consequences if noncompliance is detected (e.g., sanctions on current or future access/use of data). In the case </w:t>
                            </w:r>
                            <w:r>
                              <w:rPr>
                                <w:color w:val="2E75B5"/>
                              </w:rPr>
                              <w:t>of sensitive personal data disclosure, there may be severe legal penalties that impact both the user and repository. Ideally, repositories should have a public policy in place for noncompliance.</w:t>
                            </w:r>
                          </w:p>
                          <w:p w:rsidR="00AC683C" w:rsidRDefault="00FD2153">
                            <w:pPr>
                              <w:pStyle w:val="Textindependent"/>
                              <w:spacing w:before="180"/>
                              <w:ind w:left="107" w:right="603"/>
                            </w:pPr>
                            <w:r>
                              <w:rPr>
                                <w:color w:val="2E75B5"/>
                              </w:rPr>
                              <w:t>A Compliance Level of 4 is necessary if the applicant is curr</w:t>
                            </w:r>
                            <w:r>
                              <w:rPr>
                                <w:color w:val="2E75B5"/>
                              </w:rPr>
                              <w:t>ently providing access to personal data.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53" type="#_x0000_t202" style="position:absolute;left:0;text-align:left;margin-left:51pt;margin-top:29.1pt;width:493.1pt;height:185.05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" filled="f" strokecolor="#2e75b5" strokeweight=".48pt">
                <v:textbox inset="0,0,0,0">
                  <w:txbxContent>
                    <w:p w:rsidR="00AC683C" w:rsidRDefault="00FD2153">
                      <w:pPr>
                        <w:pStyle w:val="Textindependent"/>
                        <w:spacing w:before="17"/>
                        <w:ind w:left="107" w:right="186"/>
                      </w:pPr>
                      <w:r>
                        <w:rPr>
                          <w:color w:val="2E75B5"/>
                        </w:rPr>
                        <w:t xml:space="preserve">Stipulations on </w:t>
                      </w:r>
                      <w:r>
                        <w:rPr>
                          <w:color w:val="2E75B5"/>
                        </w:rPr>
                        <w:t xml:space="preserve">data access and use could be defined in a set of standard terms and conditions, or differentiated by depositor or dataset. For sensitive data, in particular, licenses may specify limitations on use, usage environment (safe room, secure remote access), and </w:t>
                      </w:r>
                      <w:r>
                        <w:rPr>
                          <w:color w:val="2E75B5"/>
                        </w:rPr>
                        <w:t>types of users (approved researcher, has received training, etc.). Popular license options include, but are not limited to, those offered by Creative Commons (</w:t>
                      </w:r>
                      <w:hyperlink r:id="rId19">
                        <w:r>
                          <w:rPr>
                            <w:color w:val="1155CC"/>
                            <w:u w:val="single" w:color="1155CC"/>
                          </w:rPr>
                          <w:t>https://creativecommons.org/</w:t>
                        </w:r>
                      </w:hyperlink>
                      <w:r>
                        <w:rPr>
                          <w:rFonts w:ascii="Verdana" w:hAnsi="Verdana"/>
                          <w:color w:val="2E75B5"/>
                          <w:sz w:val="18"/>
                        </w:rPr>
                        <w:t xml:space="preserve">) </w:t>
                      </w:r>
                      <w:r>
                        <w:rPr>
                          <w:color w:val="2E75B5"/>
                        </w:rPr>
                        <w:t>such as ‘CC 0 Waive</w:t>
                      </w:r>
                      <w:r>
                        <w:rPr>
                          <w:color w:val="2E75B5"/>
                        </w:rPr>
                        <w:t>r’ and ‘public domain data’ licenses.</w:t>
                      </w:r>
                    </w:p>
                    <w:p w:rsidR="00AC683C" w:rsidRDefault="00FD2153">
                      <w:pPr>
                        <w:pStyle w:val="Textindependent"/>
                        <w:spacing w:before="181"/>
                        <w:ind w:left="107" w:right="149"/>
                      </w:pPr>
                      <w:r>
                        <w:rPr>
                          <w:color w:val="2E75B5"/>
                        </w:rPr>
                        <w:t xml:space="preserve">While it may be challenging to identify instances of noncompliance, consideration should be given to the consequences if noncompliance is detected (e.g., sanctions on current or future access/use of data). In the case </w:t>
                      </w:r>
                      <w:r>
                        <w:rPr>
                          <w:color w:val="2E75B5"/>
                        </w:rPr>
                        <w:t>of sensitive personal data disclosure, there may be severe legal penalties that impact both the user and repository. Ideally, repositories should have a public policy in place for noncompliance.</w:t>
                      </w:r>
                    </w:p>
                    <w:p w:rsidR="00AC683C" w:rsidRDefault="00FD2153">
                      <w:pPr>
                        <w:pStyle w:val="Textindependent"/>
                        <w:spacing w:before="180"/>
                        <w:ind w:left="107" w:right="603"/>
                      </w:pPr>
                      <w:r>
                        <w:rPr>
                          <w:color w:val="2E75B5"/>
                        </w:rPr>
                        <w:t>A Compliance Level of 4 is necessary if the applicant is curr</w:t>
                      </w:r>
                      <w:r>
                        <w:rPr>
                          <w:color w:val="2E75B5"/>
                        </w:rPr>
                        <w:t>ently providing access to personal data.</w:t>
                      </w:r>
                    </w:p>
                  </w:txbxContent>
                </v:textbox>
                <w10:wrap type="topAndBottom" anchorx="page"/>
              </v:shape>
            </w:pict>
          </mc:Fallback>
        </mc:AlternateContent>
      </w:r>
      <w:bookmarkStart w:id="36" w:name="Extended_guidance_R2."/>
      <w:bookmarkEnd w:id="36"/>
      <w:r w:rsidR="00FD2153">
        <w:t>Extended guidance R2.</w:t>
      </w:r>
    </w:p>
    <w:p w:rsidR="00AC683C" w:rsidRDefault="00AC683C">
      <w:pPr>
        <w:jc w:val="both"/>
        <w:sectPr w:rsidR="00AC683C">
          <w:pgSz w:w="11910" w:h="16840"/>
          <w:pgMar w:top="1020" w:right="900" w:bottom="1060" w:left="900" w:header="724" w:footer="860" w:gutter="0"/>
          <w:cols w:space="720"/>
        </w:sectPr>
      </w:pPr>
    </w:p>
    <w:p w:rsidR="00AC683C" w:rsidRDefault="00FD2153">
      <w:pPr>
        <w:pStyle w:val="Pargrafdellista"/>
        <w:numPr>
          <w:ilvl w:val="0"/>
          <w:numId w:val="2"/>
        </w:numPr>
        <w:tabs>
          <w:tab w:val="left" w:pos="521"/>
        </w:tabs>
        <w:spacing w:before="91"/>
        <w:rPr>
          <w:b/>
          <w:sz w:val="26"/>
        </w:rPr>
      </w:pPr>
      <w:bookmarkStart w:id="37" w:name="3._Continuity_of_access"/>
      <w:bookmarkStart w:id="38" w:name="_bookmark17"/>
      <w:bookmarkEnd w:id="37"/>
      <w:bookmarkEnd w:id="38"/>
      <w:r>
        <w:rPr>
          <w:b/>
          <w:sz w:val="26"/>
        </w:rPr>
        <w:lastRenderedPageBreak/>
        <w:t>Continuity of</w:t>
      </w:r>
      <w:r>
        <w:rPr>
          <w:b/>
          <w:spacing w:val="-5"/>
          <w:sz w:val="26"/>
        </w:rPr>
        <w:t xml:space="preserve"> </w:t>
      </w:r>
      <w:r>
        <w:rPr>
          <w:b/>
          <w:sz w:val="26"/>
        </w:rPr>
        <w:t>access</w:t>
      </w:r>
    </w:p>
    <w:p w:rsidR="00AC683C" w:rsidRDefault="00FD2153">
      <w:pPr>
        <w:pStyle w:val="Ttol3"/>
        <w:ind w:right="411"/>
      </w:pPr>
      <w:r>
        <w:rPr>
          <w:color w:val="ED7D31"/>
        </w:rPr>
        <w:t>R3. The repository has a continuity plan to ensure ongoing access to and preservation of its holdings.</w:t>
      </w:r>
    </w:p>
    <w:p w:rsidR="00AC683C" w:rsidRDefault="00FD2153">
      <w:pPr>
        <w:pStyle w:val="Textindependent"/>
        <w:spacing w:before="70"/>
      </w:pPr>
      <w:r>
        <w:t>Compliance Level:</w:t>
      </w:r>
    </w:p>
    <w:p w:rsidR="00AC683C" w:rsidRDefault="00FD2153">
      <w:pPr>
        <w:pStyle w:val="Ttol3"/>
        <w:spacing w:before="177"/>
        <w:rPr>
          <w:rFonts w:ascii="Arial"/>
        </w:rPr>
      </w:pPr>
      <w:r>
        <w:rPr>
          <w:rFonts w:ascii="Arial"/>
          <w:color w:val="538135"/>
        </w:rPr>
        <w:t>Response</w:t>
      </w:r>
    </w:p>
    <w:p w:rsidR="00AC683C" w:rsidRDefault="00FD2153">
      <w:pPr>
        <w:pStyle w:val="Ttol2"/>
      </w:pPr>
      <w:r>
        <w:t>Guidance:</w:t>
      </w:r>
    </w:p>
    <w:p w:rsidR="00AC683C" w:rsidRDefault="00FD2153">
      <w:pPr>
        <w:pStyle w:val="Textindependent"/>
        <w:spacing w:before="182"/>
        <w:ind w:right="267"/>
        <w:jc w:val="both"/>
      </w:pPr>
      <w:r>
        <w:t>This Requirement covers the governance related to continued operation of the repository over time and during disasters, as well as evidence in relation to succession planning; namely, the measures in place to ensure access to and availability of data holdi</w:t>
      </w:r>
      <w:r>
        <w:t>ngs, both currently and in the future.</w:t>
      </w:r>
    </w:p>
    <w:p w:rsidR="00AC683C" w:rsidRDefault="00FD2153">
      <w:pPr>
        <w:pStyle w:val="Textindependent"/>
        <w:ind w:right="731"/>
        <w:jc w:val="both"/>
      </w:pPr>
      <w:r>
        <w:t>Reviewers are seeking evidence that preparations are in place to address the risks inherent in changing circumstances, including in mission and/or scope.</w:t>
      </w:r>
    </w:p>
    <w:p w:rsidR="00AC683C" w:rsidRDefault="00FD2153">
      <w:pPr>
        <w:pStyle w:val="Textindependent"/>
        <w:spacing w:before="180"/>
        <w:jc w:val="both"/>
      </w:pPr>
      <w:r>
        <w:t>For this Requirement, please describe:</w:t>
      </w:r>
    </w:p>
    <w:p w:rsidR="00AC683C" w:rsidRDefault="00FD2153">
      <w:pPr>
        <w:pStyle w:val="Pargrafdellista"/>
        <w:numPr>
          <w:ilvl w:val="1"/>
          <w:numId w:val="2"/>
        </w:numPr>
        <w:tabs>
          <w:tab w:val="left" w:pos="952"/>
          <w:tab w:val="left" w:pos="954"/>
        </w:tabs>
        <w:spacing w:before="179"/>
        <w:ind w:right="1249"/>
      </w:pPr>
      <w:r>
        <w:t>The level of responsibil</w:t>
      </w:r>
      <w:r>
        <w:t>ity undertaken for data holdings, including any guaranteed preservation</w:t>
      </w:r>
      <w:r>
        <w:rPr>
          <w:spacing w:val="-1"/>
        </w:rPr>
        <w:t xml:space="preserve"> </w:t>
      </w:r>
      <w:r>
        <w:t>periods.</w:t>
      </w:r>
    </w:p>
    <w:p w:rsidR="00AC683C" w:rsidRDefault="00FD2153">
      <w:pPr>
        <w:pStyle w:val="Pargrafdellista"/>
        <w:numPr>
          <w:ilvl w:val="1"/>
          <w:numId w:val="2"/>
        </w:numPr>
        <w:tabs>
          <w:tab w:val="left" w:pos="952"/>
          <w:tab w:val="left" w:pos="953"/>
        </w:tabs>
        <w:spacing w:before="1"/>
        <w:ind w:left="952" w:right="272" w:hanging="360"/>
      </w:pPr>
      <w:r>
        <w:t>The medium-term (three- to five-year) and long-term (&gt; five years) plans in place to ensure the continued availability and accessibility of the data. In particular, both the r</w:t>
      </w:r>
      <w:r>
        <w:t>esponse to rapid changes of circumstance and long-term planning should be described, indicating options for relocation or transition of the activity to another body or return of the data holdings to their owners (i.e., data producers). For example, what wi</w:t>
      </w:r>
      <w:r>
        <w:t>ll happen in the case of cessation of funding, which could be through an unexpected withdrawal of funding, a planned ending of funding for a time-limited project repository, or a shift of host institution interests?</w:t>
      </w:r>
    </w:p>
    <w:p w:rsidR="00AC683C" w:rsidRDefault="00FD2153">
      <w:pPr>
        <w:pStyle w:val="Textindependent"/>
        <w:spacing w:before="179"/>
        <w:ind w:right="527"/>
        <w:jc w:val="both"/>
      </w:pPr>
      <w:r>
        <w:t>Evidence for this Requirement should rel</w:t>
      </w:r>
      <w:r>
        <w:t>ate specifically to governance. The technical aspects of business continuity, and disaster and succession planning should be covered in R15 (Technical infrastructure).</w:t>
      </w:r>
    </w:p>
    <w:p w:rsidR="00AC683C" w:rsidRDefault="000A2A0E">
      <w:pPr>
        <w:pStyle w:val="Ttol2"/>
        <w:spacing w:before="178"/>
        <w:jc w:val="both"/>
      </w:pPr>
      <w:r>
        <w:rPr>
          <w:noProof/>
          <w:lang w:val="es-ES" w:eastAsia="es-ES" w:bidi="ar-SA"/>
        </w:rPr>
        <mc:AlternateContent>
          <mc:Choice Requires="wps">
            <w:drawing>
              <wp:anchor distT="0" distB="0" distL="0" distR="0" simplePos="0" relativeHeight="251678720" behindDoc="1" locked="0" layoutInCell="1" allowOverlap="1">
                <wp:simplePos x="0" y="0"/>
                <wp:positionH relativeFrom="page">
                  <wp:posOffset>647700</wp:posOffset>
                </wp:positionH>
                <wp:positionV relativeFrom="paragraph">
                  <wp:posOffset>370205</wp:posOffset>
                </wp:positionV>
                <wp:extent cx="6262370" cy="2395855"/>
                <wp:effectExtent l="0" t="0" r="0" b="0"/>
                <wp:wrapTopAndBottom/>
                <wp:docPr id="1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2370" cy="2395855"/>
                        </a:xfrm>
                        <a:prstGeom prst="rect">
                          <a:avLst/>
                        </a:prstGeom>
                        <a:noFill/>
                        <a:ln w="6096">
                          <a:solidFill>
                            <a:srgbClr val="2E75B5"/>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AC683C" w:rsidRDefault="00FD2153">
                            <w:pPr>
                              <w:pStyle w:val="Textindependent"/>
                              <w:spacing w:before="17"/>
                              <w:ind w:left="107" w:right="309"/>
                            </w:pPr>
                            <w:r>
                              <w:rPr>
                                <w:color w:val="2E75B5"/>
                              </w:rPr>
                              <w:t>The reviewer is looking for information to understand the level of responsibility tak</w:t>
                            </w:r>
                            <w:r>
                              <w:rPr>
                                <w:color w:val="2E75B5"/>
                              </w:rPr>
                              <w:t xml:space="preserve">en for data, the level of risk for the current organization, and the level of succession planning for the future of the data collection. For example, is the applicant the primary or only custodian? Does the depositor share responsibility for the future of </w:t>
                            </w:r>
                            <w:r>
                              <w:rPr>
                                <w:color w:val="2E75B5"/>
                              </w:rPr>
                              <w:t>the data? Does the repository provide access, preservation, and/or data storage to some minimum quality level for some minimum time period? This information helps the reviewer to judge if the repository is sustainable in terms of its finances and processes</w:t>
                            </w:r>
                            <w:r>
                              <w:rPr>
                                <w:color w:val="2E75B5"/>
                              </w:rPr>
                              <w:t>; in particular, the continuity of its collections and responsibilities in the case of a temporary or permanent break in service.</w:t>
                            </w:r>
                          </w:p>
                          <w:p w:rsidR="00AC683C" w:rsidRDefault="00FD2153">
                            <w:pPr>
                              <w:pStyle w:val="Textindependent"/>
                              <w:spacing w:before="181"/>
                              <w:ind w:left="107" w:right="101"/>
                            </w:pPr>
                            <w:r>
                              <w:rPr>
                                <w:color w:val="2E75B5"/>
                              </w:rPr>
                              <w:t>The responsibility for sustainability may not lie in the hands of the repository itself, but with a higher host or parent organization. If so, this should be clearly indicated. Moreover, if the repository is part of a larger organization, has this or any o</w:t>
                            </w:r>
                            <w:r>
                              <w:rPr>
                                <w:color w:val="2E75B5"/>
                              </w:rPr>
                              <w:t>ther organization (e.g., a National Archive) guaranteed that it will take over the responsibility in the case of a service discontinuity? If there is no formal, written agreement between the repository and such an organization, then the Compliance Level ca</w:t>
                            </w:r>
                            <w:r>
                              <w:rPr>
                                <w:color w:val="2E75B5"/>
                              </w:rPr>
                              <w:t>n be at a maximum of 3 only.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54" type="#_x0000_t202" style="position:absolute;left:0;text-align:left;margin-left:51pt;margin-top:29.15pt;width:493.1pt;height:188.65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" filled="f" strokecolor="#2e75b5" strokeweight=".48pt">
                <v:textbox inset="0,0,0,0">
                  <w:txbxContent>
                    <w:p w:rsidR="00AC683C" w:rsidRDefault="00FD2153">
                      <w:pPr>
                        <w:pStyle w:val="Textindependent"/>
                        <w:spacing w:before="17"/>
                        <w:ind w:left="107" w:right="309"/>
                      </w:pPr>
                      <w:r>
                        <w:rPr>
                          <w:color w:val="2E75B5"/>
                        </w:rPr>
                        <w:t>The reviewer is looking for information to understand the level of responsibility tak</w:t>
                      </w:r>
                      <w:r>
                        <w:rPr>
                          <w:color w:val="2E75B5"/>
                        </w:rPr>
                        <w:t xml:space="preserve">en for data, the level of risk for the current organization, and the level of succession planning for the future of the data collection. For example, is the applicant the primary or only custodian? Does the depositor share responsibility for the future of </w:t>
                      </w:r>
                      <w:r>
                        <w:rPr>
                          <w:color w:val="2E75B5"/>
                        </w:rPr>
                        <w:t>the data? Does the repository provide access, preservation, and/or data storage to some minimum quality level for some minimum time period? This information helps the reviewer to judge if the repository is sustainable in terms of its finances and processes</w:t>
                      </w:r>
                      <w:r>
                        <w:rPr>
                          <w:color w:val="2E75B5"/>
                        </w:rPr>
                        <w:t>; in particular, the continuity of its collections and responsibilities in the case of a temporary or permanent break in service.</w:t>
                      </w:r>
                    </w:p>
                    <w:p w:rsidR="00AC683C" w:rsidRDefault="00FD2153">
                      <w:pPr>
                        <w:pStyle w:val="Textindependent"/>
                        <w:spacing w:before="181"/>
                        <w:ind w:left="107" w:right="101"/>
                      </w:pPr>
                      <w:r>
                        <w:rPr>
                          <w:color w:val="2E75B5"/>
                        </w:rPr>
                        <w:t>The responsibility for sustainability may not lie in the hands of the repository itself, but with a higher host or parent organization. If so, this should be clearly indicated. Moreover, if the repository is part of a larger organization, has this or any o</w:t>
                      </w:r>
                      <w:r>
                        <w:rPr>
                          <w:color w:val="2E75B5"/>
                        </w:rPr>
                        <w:t>ther organization (e.g., a National Archive) guaranteed that it will take over the responsibility in the case of a service discontinuity? If there is no formal, written agreement between the repository and such an organization, then the Compliance Level ca</w:t>
                      </w:r>
                      <w:r>
                        <w:rPr>
                          <w:color w:val="2E75B5"/>
                        </w:rPr>
                        <w:t>n be at a maximum of 3 only.</w:t>
                      </w:r>
                    </w:p>
                  </w:txbxContent>
                </v:textbox>
                <w10:wrap type="topAndBottom" anchorx="page"/>
              </v:shape>
            </w:pict>
          </mc:Fallback>
        </mc:AlternateContent>
      </w:r>
      <w:bookmarkStart w:id="39" w:name="Extended_Guidance_R3."/>
      <w:bookmarkEnd w:id="39"/>
      <w:r w:rsidR="00FD2153">
        <w:t>Extended Guidance R3.</w:t>
      </w:r>
    </w:p>
    <w:p w:rsidR="00AC683C" w:rsidRDefault="00AC683C">
      <w:pPr>
        <w:jc w:val="both"/>
        <w:sectPr w:rsidR="00AC683C">
          <w:pgSz w:w="11910" w:h="16840"/>
          <w:pgMar w:top="1020" w:right="900" w:bottom="1060" w:left="900" w:header="724" w:footer="860" w:gutter="0"/>
          <w:cols w:space="720"/>
        </w:sectPr>
      </w:pPr>
    </w:p>
    <w:p w:rsidR="00AC683C" w:rsidRDefault="00FD2153">
      <w:pPr>
        <w:pStyle w:val="Pargrafdellista"/>
        <w:numPr>
          <w:ilvl w:val="0"/>
          <w:numId w:val="2"/>
        </w:numPr>
        <w:tabs>
          <w:tab w:val="left" w:pos="521"/>
        </w:tabs>
        <w:spacing w:before="91"/>
        <w:rPr>
          <w:b/>
          <w:sz w:val="26"/>
        </w:rPr>
      </w:pPr>
      <w:bookmarkStart w:id="40" w:name="4._Confidentiality/Ethics"/>
      <w:bookmarkStart w:id="41" w:name="_bookmark18"/>
      <w:bookmarkEnd w:id="40"/>
      <w:bookmarkEnd w:id="41"/>
      <w:r>
        <w:rPr>
          <w:b/>
          <w:sz w:val="26"/>
        </w:rPr>
        <w:lastRenderedPageBreak/>
        <w:t>Confidentiality/Ethics</w:t>
      </w:r>
    </w:p>
    <w:p w:rsidR="00AC683C" w:rsidRDefault="00FD2153">
      <w:pPr>
        <w:pStyle w:val="Ttol3"/>
        <w:ind w:right="234"/>
      </w:pPr>
      <w:r>
        <w:rPr>
          <w:color w:val="ED7D31"/>
        </w:rPr>
        <w:t>R4. The repository ensures, to the extent possible, that data are created, curated, accessed, and used in compliance with disciplinary and ethical norms.</w:t>
      </w:r>
    </w:p>
    <w:p w:rsidR="00AC683C" w:rsidRDefault="00FD2153">
      <w:pPr>
        <w:pStyle w:val="Textindependent"/>
        <w:spacing w:before="70"/>
      </w:pPr>
      <w:r>
        <w:t>Compliance Level:</w:t>
      </w:r>
    </w:p>
    <w:p w:rsidR="00AC683C" w:rsidRDefault="00FD2153">
      <w:pPr>
        <w:pStyle w:val="Ttol3"/>
        <w:spacing w:before="177"/>
        <w:rPr>
          <w:rFonts w:ascii="Arial"/>
        </w:rPr>
      </w:pPr>
      <w:r>
        <w:rPr>
          <w:rFonts w:ascii="Arial"/>
          <w:color w:val="538135"/>
        </w:rPr>
        <w:t>Response</w:t>
      </w:r>
    </w:p>
    <w:p w:rsidR="00AC683C" w:rsidRDefault="00FD2153">
      <w:pPr>
        <w:pStyle w:val="Ttol2"/>
      </w:pPr>
      <w:r>
        <w:t>Guidance:</w:t>
      </w:r>
    </w:p>
    <w:p w:rsidR="00AC683C" w:rsidRDefault="00FD2153">
      <w:pPr>
        <w:pStyle w:val="Textindependent"/>
        <w:spacing w:before="122"/>
        <w:ind w:right="284"/>
      </w:pPr>
      <w:r>
        <w:t>Adherence to ethical norms is critical to responsible science. Disclosure risk—for example, the risk that an individual who participated in a survey can be identified or that the precise location of an endangered specie</w:t>
      </w:r>
      <w:r>
        <w:t>s can be pinpointed—is a concern that many repositories must address.</w:t>
      </w:r>
    </w:p>
    <w:p w:rsidR="00AC683C" w:rsidRDefault="00FD2153">
      <w:pPr>
        <w:pStyle w:val="Textindependent"/>
        <w:ind w:right="344"/>
      </w:pPr>
      <w:r>
        <w:t>Evidence should demonstrate that the repository has good practices for data with disclosure risks, including guidance for depositors and users. This is necessary to maintain the trust of</w:t>
      </w:r>
      <w:r>
        <w:t xml:space="preserve"> those agreeing to have personal/sensitive data stored in the repository.</w:t>
      </w:r>
    </w:p>
    <w:p w:rsidR="00AC683C" w:rsidRDefault="00FD2153">
      <w:pPr>
        <w:pStyle w:val="Textindependent"/>
        <w:spacing w:before="179"/>
      </w:pPr>
      <w:r>
        <w:t>For this Requirement, responses should include evidence related to the following questions:</w:t>
      </w:r>
    </w:p>
    <w:p w:rsidR="00AC683C" w:rsidRDefault="00FD2153">
      <w:pPr>
        <w:pStyle w:val="Pargrafdellista"/>
        <w:numPr>
          <w:ilvl w:val="0"/>
          <w:numId w:val="1"/>
        </w:numPr>
        <w:tabs>
          <w:tab w:val="left" w:pos="876"/>
          <w:tab w:val="left" w:pos="877"/>
        </w:tabs>
        <w:spacing w:before="182"/>
      </w:pPr>
      <w:r>
        <w:t>How does the repository comply with applicable disciplinary</w:t>
      </w:r>
      <w:r>
        <w:rPr>
          <w:spacing w:val="-14"/>
        </w:rPr>
        <w:t xml:space="preserve"> </w:t>
      </w:r>
      <w:r>
        <w:t>norms?</w:t>
      </w:r>
    </w:p>
    <w:p w:rsidR="00AC683C" w:rsidRDefault="00FD2153">
      <w:pPr>
        <w:pStyle w:val="Pargrafdellista"/>
        <w:numPr>
          <w:ilvl w:val="0"/>
          <w:numId w:val="1"/>
        </w:numPr>
        <w:tabs>
          <w:tab w:val="left" w:pos="876"/>
          <w:tab w:val="left" w:pos="877"/>
        </w:tabs>
        <w:spacing w:before="38"/>
        <w:ind w:right="481"/>
      </w:pPr>
      <w:r>
        <w:t>Does the repository req</w:t>
      </w:r>
      <w:r>
        <w:t>uest confirmation that data collection or creation was carried out in accordance with legal and ethical criteria prevailing in the data producer's geographical location or discipline (e.g., Ethical Review Committee/Institutional Review Board or Data Protec</w:t>
      </w:r>
      <w:r>
        <w:t>tion</w:t>
      </w:r>
      <w:r>
        <w:rPr>
          <w:spacing w:val="-1"/>
        </w:rPr>
        <w:t xml:space="preserve"> </w:t>
      </w:r>
      <w:r>
        <w:t>legislation)?</w:t>
      </w:r>
    </w:p>
    <w:p w:rsidR="00AC683C" w:rsidRDefault="00FD2153">
      <w:pPr>
        <w:pStyle w:val="Pargrafdellista"/>
        <w:numPr>
          <w:ilvl w:val="0"/>
          <w:numId w:val="1"/>
        </w:numPr>
        <w:tabs>
          <w:tab w:val="left" w:pos="876"/>
          <w:tab w:val="left" w:pos="877"/>
        </w:tabs>
        <w:spacing w:before="38"/>
      </w:pPr>
      <w:r>
        <w:t>Are special procedures applied to manage data with disclosure</w:t>
      </w:r>
      <w:r>
        <w:rPr>
          <w:spacing w:val="-31"/>
        </w:rPr>
        <w:t xml:space="preserve"> </w:t>
      </w:r>
      <w:r>
        <w:t>risk?</w:t>
      </w:r>
    </w:p>
    <w:p w:rsidR="00AC683C" w:rsidRDefault="00FD2153">
      <w:pPr>
        <w:pStyle w:val="Pargrafdellista"/>
        <w:numPr>
          <w:ilvl w:val="0"/>
          <w:numId w:val="1"/>
        </w:numPr>
        <w:tabs>
          <w:tab w:val="left" w:pos="876"/>
          <w:tab w:val="left" w:pos="877"/>
        </w:tabs>
        <w:spacing w:before="39"/>
      </w:pPr>
      <w:r>
        <w:t>Are data with disclosure risk managed appropriately to limit</w:t>
      </w:r>
      <w:r>
        <w:rPr>
          <w:spacing w:val="-30"/>
        </w:rPr>
        <w:t xml:space="preserve"> </w:t>
      </w:r>
      <w:r>
        <w:t>access?</w:t>
      </w:r>
    </w:p>
    <w:p w:rsidR="00AC683C" w:rsidRDefault="00FD2153">
      <w:pPr>
        <w:pStyle w:val="Pargrafdellista"/>
        <w:numPr>
          <w:ilvl w:val="0"/>
          <w:numId w:val="1"/>
        </w:numPr>
        <w:tabs>
          <w:tab w:val="left" w:pos="876"/>
          <w:tab w:val="left" w:pos="877"/>
        </w:tabs>
        <w:spacing w:before="39"/>
      </w:pPr>
      <w:r>
        <w:t>Are data with disclosure risk distributed under appropriate</w:t>
      </w:r>
      <w:r>
        <w:rPr>
          <w:spacing w:val="-13"/>
        </w:rPr>
        <w:t xml:space="preserve"> </w:t>
      </w:r>
      <w:r>
        <w:t>conditions?</w:t>
      </w:r>
    </w:p>
    <w:p w:rsidR="00AC683C" w:rsidRDefault="00FD2153">
      <w:pPr>
        <w:pStyle w:val="Pargrafdellista"/>
        <w:numPr>
          <w:ilvl w:val="0"/>
          <w:numId w:val="1"/>
        </w:numPr>
        <w:tabs>
          <w:tab w:val="left" w:pos="876"/>
          <w:tab w:val="left" w:pos="877"/>
        </w:tabs>
        <w:spacing w:before="39"/>
        <w:ind w:right="311"/>
      </w:pPr>
      <w:r>
        <w:t>Are procedures in place to r</w:t>
      </w:r>
      <w:r>
        <w:t>eview disclosure risk in data, and to take the necessary steps to either anonymize files or to provide access in a secure</w:t>
      </w:r>
      <w:r>
        <w:rPr>
          <w:spacing w:val="-8"/>
        </w:rPr>
        <w:t xml:space="preserve"> </w:t>
      </w:r>
      <w:r>
        <w:t>way?</w:t>
      </w:r>
    </w:p>
    <w:p w:rsidR="00AC683C" w:rsidRDefault="00FD2153">
      <w:pPr>
        <w:pStyle w:val="Pargrafdellista"/>
        <w:numPr>
          <w:ilvl w:val="0"/>
          <w:numId w:val="1"/>
        </w:numPr>
        <w:tabs>
          <w:tab w:val="left" w:pos="876"/>
          <w:tab w:val="left" w:pos="877"/>
        </w:tabs>
        <w:spacing w:before="40"/>
      </w:pPr>
      <w:r>
        <w:t>Are staff trained in the management of data with disclosure</w:t>
      </w:r>
      <w:r>
        <w:rPr>
          <w:spacing w:val="-25"/>
        </w:rPr>
        <w:t xml:space="preserve"> </w:t>
      </w:r>
      <w:r>
        <w:t>risk?</w:t>
      </w:r>
    </w:p>
    <w:p w:rsidR="00AC683C" w:rsidRDefault="00FD2153">
      <w:pPr>
        <w:pStyle w:val="Pargrafdellista"/>
        <w:numPr>
          <w:ilvl w:val="0"/>
          <w:numId w:val="1"/>
        </w:numPr>
        <w:tabs>
          <w:tab w:val="left" w:pos="876"/>
          <w:tab w:val="left" w:pos="877"/>
        </w:tabs>
        <w:spacing w:before="39"/>
      </w:pPr>
      <w:r>
        <w:t>Are there measures in place if conditions are not complied</w:t>
      </w:r>
      <w:r>
        <w:rPr>
          <w:spacing w:val="-32"/>
        </w:rPr>
        <w:t xml:space="preserve"> </w:t>
      </w:r>
      <w:r>
        <w:t>with</w:t>
      </w:r>
      <w:r>
        <w:t>?</w:t>
      </w:r>
    </w:p>
    <w:p w:rsidR="00AC683C" w:rsidRDefault="00FD2153">
      <w:pPr>
        <w:pStyle w:val="Pargrafdellista"/>
        <w:numPr>
          <w:ilvl w:val="0"/>
          <w:numId w:val="1"/>
        </w:numPr>
        <w:tabs>
          <w:tab w:val="left" w:pos="876"/>
          <w:tab w:val="left" w:pos="877"/>
        </w:tabs>
        <w:spacing w:before="41" w:line="237" w:lineRule="auto"/>
        <w:ind w:right="812"/>
      </w:pPr>
      <w:r>
        <w:t>Does the repository provide guidance in the responsible deposit, download, and use of disclosive, or potentially disclosive</w:t>
      </w:r>
      <w:r>
        <w:rPr>
          <w:spacing w:val="3"/>
        </w:rPr>
        <w:t xml:space="preserve"> </w:t>
      </w:r>
      <w:r>
        <w:t>data?</w:t>
      </w:r>
    </w:p>
    <w:p w:rsidR="00AC683C" w:rsidRDefault="00FD2153">
      <w:pPr>
        <w:pStyle w:val="Textindependent"/>
        <w:spacing w:before="201"/>
        <w:ind w:left="233" w:right="245"/>
      </w:pPr>
      <w:r>
        <w:t>This Requirement is about the ethical and privacy provisions that impact the creation, curation, and use of the data. Details on any licenses in alignment with such ethical and privacy provisions should be covered in R2 (Licenses).</w:t>
      </w:r>
    </w:p>
    <w:p w:rsidR="00AC683C" w:rsidRDefault="000A2A0E">
      <w:pPr>
        <w:pStyle w:val="Ttol2"/>
        <w:spacing w:before="179"/>
      </w:pPr>
      <w:r>
        <w:rPr>
          <w:noProof/>
          <w:lang w:val="es-ES" w:eastAsia="es-ES" w:bidi="ar-SA"/>
        </w:rPr>
        <mc:AlternateContent>
          <mc:Choice Requires="wps">
            <w:drawing>
              <wp:anchor distT="0" distB="0" distL="0" distR="0" simplePos="0" relativeHeight="251679744" behindDoc="1" locked="0" layoutInCell="1" allowOverlap="1">
                <wp:simplePos x="0" y="0"/>
                <wp:positionH relativeFrom="page">
                  <wp:posOffset>647700</wp:posOffset>
                </wp:positionH>
                <wp:positionV relativeFrom="paragraph">
                  <wp:posOffset>370840</wp:posOffset>
                </wp:positionV>
                <wp:extent cx="6262370" cy="2624455"/>
                <wp:effectExtent l="0" t="0" r="0" b="0"/>
                <wp:wrapTopAndBottom/>
                <wp:docPr id="1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2370" cy="2624455"/>
                        </a:xfrm>
                        <a:prstGeom prst="rect">
                          <a:avLst/>
                        </a:prstGeom>
                        <a:noFill/>
                        <a:ln w="6096">
                          <a:solidFill>
                            <a:srgbClr val="2E75B5"/>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AC683C" w:rsidRDefault="00FD2153">
                            <w:pPr>
                              <w:pStyle w:val="Textindependent"/>
                              <w:spacing w:before="17"/>
                              <w:ind w:left="107" w:right="369"/>
                            </w:pPr>
                            <w:r>
                              <w:rPr>
                                <w:color w:val="2E75B5"/>
                              </w:rPr>
                              <w:t>All organizations responsible for data have an ethical duty to manage them to the level expected by the scientific practice of its Designated Community. For repositories holding data about individuals, organizations, or protected areas and species, there a</w:t>
                            </w:r>
                            <w:r>
                              <w:rPr>
                                <w:color w:val="2E75B5"/>
                              </w:rPr>
                              <w:t>re additional legal and ethical expectations that the rights of the data subjects will be protected.</w:t>
                            </w:r>
                          </w:p>
                          <w:p w:rsidR="00AC683C" w:rsidRDefault="00FD2153">
                            <w:pPr>
                              <w:pStyle w:val="Textindependent"/>
                              <w:spacing w:before="180"/>
                              <w:ind w:left="107" w:right="247"/>
                            </w:pPr>
                            <w:r>
                              <w:rPr>
                                <w:color w:val="2E75B5"/>
                              </w:rPr>
                              <w:t xml:space="preserve">Disclosure of these data could also present a risk of personal harm, a breach of commercial confidentiality, or the release of critical information (e.g., </w:t>
                            </w:r>
                            <w:r>
                              <w:rPr>
                                <w:color w:val="2E75B5"/>
                              </w:rPr>
                              <w:t>the location of endangered species or an archaeological site). If there is any risk that identifiable data are deposited—for example, by accident—the repository must take appropriate measures for handling such data and to ensure they are dealt with (dispos</w:t>
                            </w:r>
                            <w:r>
                              <w:rPr>
                                <w:color w:val="2E75B5"/>
                              </w:rPr>
                              <w:t>ed of) in accordance with legal regulations.</w:t>
                            </w:r>
                          </w:p>
                          <w:p w:rsidR="00AC683C" w:rsidRDefault="00FD2153">
                            <w:pPr>
                              <w:pStyle w:val="Textindependent"/>
                              <w:spacing w:before="180"/>
                              <w:ind w:left="107" w:right="468"/>
                            </w:pPr>
                            <w:r>
                              <w:rPr>
                                <w:color w:val="2E75B5"/>
                              </w:rPr>
                              <w:t>The Compliance Level must be at 4 if the repository is currently providing access to personal or other sensitive data.</w:t>
                            </w:r>
                          </w:p>
                          <w:p w:rsidR="00AC683C" w:rsidRDefault="00FD2153">
                            <w:pPr>
                              <w:pStyle w:val="Textindependent"/>
                              <w:spacing w:before="181"/>
                              <w:ind w:left="107" w:right="736"/>
                            </w:pPr>
                            <w:r>
                              <w:rPr>
                                <w:color w:val="2E75B5"/>
                              </w:rPr>
                              <w:t>Evidence should demonstrate that the applicant understands their legal environment and the r</w:t>
                            </w:r>
                            <w:r>
                              <w:rPr>
                                <w:color w:val="2E75B5"/>
                              </w:rPr>
                              <w:t>elevant ethical practices, and that they have documented procedures in place to ensure conformity.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55" type="#_x0000_t202" style="position:absolute;left:0;text-align:left;margin-left:51pt;margin-top:29.2pt;width:493.1pt;height:206.6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" filled="f" strokecolor="#2e75b5" strokeweight=".48pt">
                <v:textbox inset="0,0,0,0">
                  <w:txbxContent>
                    <w:p w:rsidR="00AC683C" w:rsidRDefault="00FD2153">
                      <w:pPr>
                        <w:pStyle w:val="Textindependent"/>
                        <w:spacing w:before="17"/>
                        <w:ind w:left="107" w:right="369"/>
                      </w:pPr>
                      <w:r>
                        <w:rPr>
                          <w:color w:val="2E75B5"/>
                        </w:rPr>
                        <w:t>All organizations responsible for data have an ethical duty to manage them to the level expected by the scientific practice of its Designated Community. For repositories holding data about individuals, organizations, or protected areas and species, there a</w:t>
                      </w:r>
                      <w:r>
                        <w:rPr>
                          <w:color w:val="2E75B5"/>
                        </w:rPr>
                        <w:t>re additional legal and ethical expectations that the rights of the data subjects will be protected.</w:t>
                      </w:r>
                    </w:p>
                    <w:p w:rsidR="00AC683C" w:rsidRDefault="00FD2153">
                      <w:pPr>
                        <w:pStyle w:val="Textindependent"/>
                        <w:spacing w:before="180"/>
                        <w:ind w:left="107" w:right="247"/>
                      </w:pPr>
                      <w:r>
                        <w:rPr>
                          <w:color w:val="2E75B5"/>
                        </w:rPr>
                        <w:t xml:space="preserve">Disclosure of these data could also present a risk of personal harm, a breach of commercial confidentiality, or the release of critical information (e.g., </w:t>
                      </w:r>
                      <w:r>
                        <w:rPr>
                          <w:color w:val="2E75B5"/>
                        </w:rPr>
                        <w:t>the location of endangered species or an archaeological site). If there is any risk that identifiable data are deposited—for example, by accident—the repository must take appropriate measures for handling such data and to ensure they are dealt with (dispos</w:t>
                      </w:r>
                      <w:r>
                        <w:rPr>
                          <w:color w:val="2E75B5"/>
                        </w:rPr>
                        <w:t>ed of) in accordance with legal regulations.</w:t>
                      </w:r>
                    </w:p>
                    <w:p w:rsidR="00AC683C" w:rsidRDefault="00FD2153">
                      <w:pPr>
                        <w:pStyle w:val="Textindependent"/>
                        <w:spacing w:before="180"/>
                        <w:ind w:left="107" w:right="468"/>
                      </w:pPr>
                      <w:r>
                        <w:rPr>
                          <w:color w:val="2E75B5"/>
                        </w:rPr>
                        <w:t>The Compliance Level must be at 4 if the repository is currently providing access to personal or other sensitive data.</w:t>
                      </w:r>
                    </w:p>
                    <w:p w:rsidR="00AC683C" w:rsidRDefault="00FD2153">
                      <w:pPr>
                        <w:pStyle w:val="Textindependent"/>
                        <w:spacing w:before="181"/>
                        <w:ind w:left="107" w:right="736"/>
                      </w:pPr>
                      <w:r>
                        <w:rPr>
                          <w:color w:val="2E75B5"/>
                        </w:rPr>
                        <w:t>Evidence should demonstrate that the applicant understands their legal environment and the r</w:t>
                      </w:r>
                      <w:r>
                        <w:rPr>
                          <w:color w:val="2E75B5"/>
                        </w:rPr>
                        <w:t>elevant ethical practices, and that they have documented procedures in place to ensure conformity.</w:t>
                      </w:r>
                    </w:p>
                  </w:txbxContent>
                </v:textbox>
                <w10:wrap type="topAndBottom" anchorx="page"/>
              </v:shape>
            </w:pict>
          </mc:Fallback>
        </mc:AlternateContent>
      </w:r>
      <w:bookmarkStart w:id="42" w:name="Extended_Guidance_R4."/>
      <w:bookmarkEnd w:id="42"/>
      <w:r w:rsidR="00FD2153">
        <w:t>Extended Guidance R4.</w:t>
      </w:r>
    </w:p>
    <w:p w:rsidR="00AC683C" w:rsidRDefault="00AC683C">
      <w:pPr>
        <w:sectPr w:rsidR="00AC683C">
          <w:pgSz w:w="11910" w:h="16840"/>
          <w:pgMar w:top="1020" w:right="900" w:bottom="1060" w:left="900" w:header="724" w:footer="860" w:gutter="0"/>
          <w:cols w:space="720"/>
        </w:sectPr>
      </w:pPr>
    </w:p>
    <w:p w:rsidR="00AC683C" w:rsidRDefault="00FD2153">
      <w:pPr>
        <w:pStyle w:val="Pargrafdellista"/>
        <w:numPr>
          <w:ilvl w:val="0"/>
          <w:numId w:val="2"/>
        </w:numPr>
        <w:tabs>
          <w:tab w:val="left" w:pos="521"/>
        </w:tabs>
        <w:spacing w:before="91"/>
        <w:rPr>
          <w:b/>
          <w:sz w:val="26"/>
        </w:rPr>
      </w:pPr>
      <w:bookmarkStart w:id="43" w:name="5._Organizational_infrastructure"/>
      <w:bookmarkStart w:id="44" w:name="_bookmark19"/>
      <w:bookmarkEnd w:id="43"/>
      <w:bookmarkEnd w:id="44"/>
      <w:r>
        <w:rPr>
          <w:b/>
          <w:sz w:val="26"/>
        </w:rPr>
        <w:lastRenderedPageBreak/>
        <w:t>Organizational</w:t>
      </w:r>
      <w:r>
        <w:rPr>
          <w:b/>
          <w:spacing w:val="-2"/>
          <w:sz w:val="26"/>
        </w:rPr>
        <w:t xml:space="preserve"> </w:t>
      </w:r>
      <w:r>
        <w:rPr>
          <w:b/>
          <w:sz w:val="26"/>
        </w:rPr>
        <w:t>infrastructure</w:t>
      </w:r>
    </w:p>
    <w:p w:rsidR="00AC683C" w:rsidRDefault="00FD2153">
      <w:pPr>
        <w:pStyle w:val="Ttol3"/>
        <w:ind w:right="458"/>
      </w:pPr>
      <w:r>
        <w:rPr>
          <w:color w:val="ED7D31"/>
        </w:rPr>
        <w:t>R5. The repository has adequate funding and sufficient numbers of qualified staff manag</w:t>
      </w:r>
      <w:r>
        <w:rPr>
          <w:color w:val="ED7D31"/>
        </w:rPr>
        <w:t>ed through a clear system of governance to effectively carry out the mission.</w:t>
      </w:r>
    </w:p>
    <w:p w:rsidR="00AC683C" w:rsidRDefault="00FD2153">
      <w:pPr>
        <w:pStyle w:val="Textindependent"/>
        <w:spacing w:before="70"/>
      </w:pPr>
      <w:r>
        <w:t>Compliance Level:</w:t>
      </w:r>
    </w:p>
    <w:p w:rsidR="00AC683C" w:rsidRDefault="00FD2153">
      <w:pPr>
        <w:pStyle w:val="Ttol3"/>
        <w:spacing w:before="177"/>
        <w:rPr>
          <w:rFonts w:ascii="Arial"/>
        </w:rPr>
      </w:pPr>
      <w:r>
        <w:rPr>
          <w:rFonts w:ascii="Arial"/>
          <w:color w:val="538135"/>
        </w:rPr>
        <w:t>Response</w:t>
      </w:r>
    </w:p>
    <w:p w:rsidR="00AC683C" w:rsidRDefault="00FD2153">
      <w:pPr>
        <w:pStyle w:val="Ttol2"/>
      </w:pPr>
      <w:r>
        <w:t>Guidance:</w:t>
      </w:r>
    </w:p>
    <w:p w:rsidR="00AC683C" w:rsidRDefault="00FD2153">
      <w:pPr>
        <w:pStyle w:val="Textindependent"/>
        <w:spacing w:before="122"/>
        <w:ind w:right="282"/>
      </w:pPr>
      <w:r>
        <w:t>Repositories need funding to carry out their responsibilities, along with a competent staff who have expertise in data archiving. However, it is also understood that continuity of funding is seldom guaranteed, and this must be balanced with the need for st</w:t>
      </w:r>
      <w:r>
        <w:t>ability.</w:t>
      </w:r>
    </w:p>
    <w:p w:rsidR="00AC683C" w:rsidRDefault="00FD2153">
      <w:pPr>
        <w:pStyle w:val="Textindependent"/>
        <w:spacing w:before="180"/>
      </w:pPr>
      <w:r>
        <w:t>For this Requirement, responses should include evidence related to the following:</w:t>
      </w:r>
    </w:p>
    <w:p w:rsidR="00AC683C" w:rsidRDefault="00FD2153">
      <w:pPr>
        <w:pStyle w:val="Pargrafdellista"/>
        <w:numPr>
          <w:ilvl w:val="1"/>
          <w:numId w:val="2"/>
        </w:numPr>
        <w:tabs>
          <w:tab w:val="left" w:pos="952"/>
          <w:tab w:val="left" w:pos="953"/>
        </w:tabs>
        <w:spacing w:before="179"/>
        <w:ind w:left="952" w:right="1006"/>
      </w:pPr>
      <w:r>
        <w:t>The repository is hosted by a recognized institution (ensuring long-term stability and sustainability) appropriate to its Designated</w:t>
      </w:r>
      <w:r>
        <w:rPr>
          <w:spacing w:val="-2"/>
        </w:rPr>
        <w:t xml:space="preserve"> </w:t>
      </w:r>
      <w:r>
        <w:t>Community.</w:t>
      </w:r>
    </w:p>
    <w:p w:rsidR="00AC683C" w:rsidRDefault="00FD2153">
      <w:pPr>
        <w:pStyle w:val="Pargrafdellista"/>
        <w:numPr>
          <w:ilvl w:val="1"/>
          <w:numId w:val="2"/>
        </w:numPr>
        <w:tabs>
          <w:tab w:val="left" w:pos="952"/>
          <w:tab w:val="left" w:pos="953"/>
        </w:tabs>
        <w:ind w:left="952" w:right="370"/>
      </w:pPr>
      <w:r>
        <w:t>The repository has su</w:t>
      </w:r>
      <w:r>
        <w:t>fficient funding, including staff resources, IT resources, and a budget for attending meetings when necessary. Ideally this should be for a three- to five-year period.</w:t>
      </w:r>
    </w:p>
    <w:p w:rsidR="00AC683C" w:rsidRDefault="00FD2153">
      <w:pPr>
        <w:pStyle w:val="Pargrafdellista"/>
        <w:numPr>
          <w:ilvl w:val="1"/>
          <w:numId w:val="2"/>
        </w:numPr>
        <w:tabs>
          <w:tab w:val="left" w:pos="952"/>
          <w:tab w:val="left" w:pos="953"/>
        </w:tabs>
        <w:ind w:left="952" w:right="881"/>
      </w:pPr>
      <w:r>
        <w:t>The repository ensures that its staff have access to ongoing training and professional d</w:t>
      </w:r>
      <w:r>
        <w:t>evelopment.</w:t>
      </w:r>
    </w:p>
    <w:p w:rsidR="00AC683C" w:rsidRDefault="00FD2153">
      <w:pPr>
        <w:pStyle w:val="Pargrafdellista"/>
        <w:numPr>
          <w:ilvl w:val="1"/>
          <w:numId w:val="2"/>
        </w:numPr>
        <w:tabs>
          <w:tab w:val="left" w:pos="952"/>
          <w:tab w:val="left" w:pos="953"/>
        </w:tabs>
        <w:ind w:left="952" w:right="697"/>
      </w:pPr>
      <w:r>
        <w:t>The range and depth of expertise of both the organization and its staff, including any relevant affiliations (e.g.,</w:t>
      </w:r>
      <w:r>
        <w:rPr>
          <w:spacing w:val="-45"/>
        </w:rPr>
        <w:t xml:space="preserve"> </w:t>
      </w:r>
      <w:r>
        <w:t>national or international bodies), is appropriate to the mission.</w:t>
      </w:r>
    </w:p>
    <w:p w:rsidR="00AC683C" w:rsidRDefault="00FD2153">
      <w:pPr>
        <w:pStyle w:val="Textindependent"/>
        <w:spacing w:before="181"/>
        <w:ind w:left="233" w:right="428" w:hanging="1"/>
      </w:pPr>
      <w:r>
        <w:t>Full descriptions of the tasks performed by the repository—and</w:t>
      </w:r>
      <w:r>
        <w:t xml:space="preserve"> the skills necessary to perform them—may be provided, if available. Such descriptions are not mandatory, however, as this level of detail is beyond the scope of core certification.</w:t>
      </w:r>
    </w:p>
    <w:p w:rsidR="00AC683C" w:rsidRDefault="00FD2153">
      <w:pPr>
        <w:pStyle w:val="Textindependent"/>
        <w:spacing w:before="179"/>
        <w:ind w:left="233" w:right="637" w:hanging="1"/>
      </w:pPr>
      <w:r>
        <w:t>Access to objective expert advice beyond that provided by skilled staff is</w:t>
      </w:r>
      <w:r>
        <w:t xml:space="preserve"> covered in R6 (Expert guidance).</w:t>
      </w:r>
    </w:p>
    <w:p w:rsidR="00AC683C" w:rsidRDefault="000A2A0E">
      <w:pPr>
        <w:pStyle w:val="Ttol2"/>
        <w:spacing w:before="179"/>
      </w:pPr>
      <w:r>
        <w:rPr>
          <w:noProof/>
          <w:lang w:val="es-ES" w:eastAsia="es-ES" w:bidi="ar-SA"/>
        </w:rPr>
        <mc:AlternateContent>
          <mc:Choice Requires="wps">
            <w:drawing>
              <wp:anchor distT="0" distB="0" distL="0" distR="0" simplePos="0" relativeHeight="251680768" behindDoc="1" locked="0" layoutInCell="1" allowOverlap="1">
                <wp:simplePos x="0" y="0"/>
                <wp:positionH relativeFrom="page">
                  <wp:posOffset>647700</wp:posOffset>
                </wp:positionH>
                <wp:positionV relativeFrom="paragraph">
                  <wp:posOffset>370840</wp:posOffset>
                </wp:positionV>
                <wp:extent cx="6262370" cy="1385570"/>
                <wp:effectExtent l="0" t="0" r="0" b="0"/>
                <wp:wrapTopAndBottom/>
                <wp:docPr id="15"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2370" cy="1385570"/>
                        </a:xfrm>
                        <a:prstGeom prst="rect">
                          <a:avLst/>
                        </a:prstGeom>
                        <a:noFill/>
                        <a:ln w="6096">
                          <a:solidFill>
                            <a:srgbClr val="2E75B5"/>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AC683C" w:rsidRDefault="00FD2153">
                            <w:pPr>
                              <w:pStyle w:val="Textindependent"/>
                              <w:spacing w:before="17"/>
                              <w:ind w:left="107" w:right="117"/>
                            </w:pPr>
                            <w:r>
                              <w:rPr>
                                <w:color w:val="2E75B5"/>
                              </w:rPr>
                              <w:t>The response to this Requirement should contain evidence describing the organization’s governance/management decision-making processes and the entities involved. Staff should have appropriate training in data management</w:t>
                            </w:r>
                            <w:r>
                              <w:rPr>
                                <w:color w:val="2E75B5"/>
                              </w:rPr>
                              <w:t xml:space="preserve"> to ensure consistent quality standards. It is also important to know what proportion of staff is employed on a permanent or temporary basis and how this might affect the professional quality of the repository, particularly for long-term</w:t>
                            </w:r>
                            <w:r>
                              <w:rPr>
                                <w:color w:val="2E75B5"/>
                                <w:spacing w:val="-25"/>
                              </w:rPr>
                              <w:t xml:space="preserve"> </w:t>
                            </w:r>
                            <w:r>
                              <w:rPr>
                                <w:color w:val="2E75B5"/>
                              </w:rPr>
                              <w:t>preservation.</w:t>
                            </w:r>
                          </w:p>
                          <w:p w:rsidR="00AC683C" w:rsidRDefault="00FD2153">
                            <w:pPr>
                              <w:pStyle w:val="Textindependent"/>
                              <w:spacing w:before="5" w:line="430" w:lineRule="atLeast"/>
                              <w:ind w:left="107" w:right="456"/>
                            </w:pPr>
                            <w:r>
                              <w:rPr>
                                <w:color w:val="2E75B5"/>
                              </w:rPr>
                              <w:t>To what degree is funding structural or project-based? Can this be expressed in FTE numbers? How often does periodic renewal of funding occur?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56" type="#_x0000_t202" style="position:absolute;left:0;text-align:left;margin-left:51pt;margin-top:29.2pt;width:493.1pt;height:109.1pt;z-index:-2516357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" filled="f" strokecolor="#2e75b5" strokeweight=".48pt">
                <v:textbox inset="0,0,0,0">
                  <w:txbxContent>
                    <w:p w:rsidR="00AC683C" w:rsidRDefault="00FD2153">
                      <w:pPr>
                        <w:pStyle w:val="Textindependent"/>
                        <w:spacing w:before="17"/>
                        <w:ind w:left="107" w:right="117"/>
                      </w:pPr>
                      <w:r>
                        <w:rPr>
                          <w:color w:val="2E75B5"/>
                        </w:rPr>
                        <w:t>The response to this Requirement should contain evidence describing the organization’s governance/management decision-making processes and the entities involved. Staff should have appropriate training in data management</w:t>
                      </w:r>
                      <w:r>
                        <w:rPr>
                          <w:color w:val="2E75B5"/>
                        </w:rPr>
                        <w:t xml:space="preserve"> to ensure consistent quality standards. It is also important to know what proportion of staff is employed on a permanent or temporary basis and how this might affect the professional quality of the repository, particularly for long-term</w:t>
                      </w:r>
                      <w:r>
                        <w:rPr>
                          <w:color w:val="2E75B5"/>
                          <w:spacing w:val="-25"/>
                        </w:rPr>
                        <w:t xml:space="preserve"> </w:t>
                      </w:r>
                      <w:r>
                        <w:rPr>
                          <w:color w:val="2E75B5"/>
                        </w:rPr>
                        <w:t>preservation.</w:t>
                      </w:r>
                    </w:p>
                    <w:p w:rsidR="00AC683C" w:rsidRDefault="00FD2153">
                      <w:pPr>
                        <w:pStyle w:val="Textindependent"/>
                        <w:spacing w:before="5" w:line="430" w:lineRule="atLeast"/>
                        <w:ind w:left="107" w:right="456"/>
                      </w:pPr>
                      <w:r>
                        <w:rPr>
                          <w:color w:val="2E75B5"/>
                        </w:rPr>
                        <w:t>To what degree is funding structural or project-based? Can this be expressed in FTE numbers? How often does periodic renewal of funding occur?</w:t>
                      </w:r>
                    </w:p>
                  </w:txbxContent>
                </v:textbox>
                <w10:wrap type="topAndBottom" anchorx="page"/>
              </v:shape>
            </w:pict>
          </mc:Fallback>
        </mc:AlternateContent>
      </w:r>
      <w:bookmarkStart w:id="45" w:name="Extended_Guidance_R5."/>
      <w:bookmarkEnd w:id="45"/>
      <w:r w:rsidR="00FD2153">
        <w:t>Extended Guidance R5.</w:t>
      </w:r>
    </w:p>
    <w:p w:rsidR="00AC683C" w:rsidRDefault="00AC683C">
      <w:pPr>
        <w:sectPr w:rsidR="00AC683C">
          <w:pgSz w:w="11910" w:h="16840"/>
          <w:pgMar w:top="1020" w:right="900" w:bottom="1060" w:left="900" w:header="724" w:footer="860" w:gutter="0"/>
          <w:cols w:space="720"/>
        </w:sectPr>
      </w:pPr>
    </w:p>
    <w:p w:rsidR="00AC683C" w:rsidRDefault="00FD2153">
      <w:pPr>
        <w:pStyle w:val="Pargrafdellista"/>
        <w:numPr>
          <w:ilvl w:val="0"/>
          <w:numId w:val="2"/>
        </w:numPr>
        <w:tabs>
          <w:tab w:val="left" w:pos="521"/>
        </w:tabs>
        <w:spacing w:before="91"/>
        <w:rPr>
          <w:b/>
          <w:sz w:val="26"/>
        </w:rPr>
      </w:pPr>
      <w:bookmarkStart w:id="46" w:name="6._Expert_guidance"/>
      <w:bookmarkStart w:id="47" w:name="_bookmark20"/>
      <w:bookmarkEnd w:id="46"/>
      <w:bookmarkEnd w:id="47"/>
      <w:r>
        <w:rPr>
          <w:b/>
          <w:sz w:val="26"/>
        </w:rPr>
        <w:lastRenderedPageBreak/>
        <w:t>Expert</w:t>
      </w:r>
      <w:r>
        <w:rPr>
          <w:b/>
          <w:spacing w:val="-2"/>
          <w:sz w:val="26"/>
        </w:rPr>
        <w:t xml:space="preserve"> </w:t>
      </w:r>
      <w:r>
        <w:rPr>
          <w:b/>
          <w:sz w:val="26"/>
        </w:rPr>
        <w:t>guidance</w:t>
      </w:r>
    </w:p>
    <w:p w:rsidR="00AC683C" w:rsidRDefault="00FD2153">
      <w:pPr>
        <w:pStyle w:val="Ttol3"/>
        <w:ind w:right="636"/>
      </w:pPr>
      <w:r>
        <w:rPr>
          <w:color w:val="ED7D31"/>
        </w:rPr>
        <w:t xml:space="preserve">R6. The repository adopts mechanism(s) to secure ongoing </w:t>
      </w:r>
      <w:r>
        <w:rPr>
          <w:color w:val="ED7D31"/>
        </w:rPr>
        <w:t>expert guidance and feedback (either in-house, or external, including scientific guidance, if relevant).</w:t>
      </w:r>
    </w:p>
    <w:p w:rsidR="00AC683C" w:rsidRDefault="00FD2153">
      <w:pPr>
        <w:pStyle w:val="Textindependent"/>
        <w:spacing w:before="70"/>
      </w:pPr>
      <w:r>
        <w:t>Compliance Level:</w:t>
      </w:r>
    </w:p>
    <w:p w:rsidR="00AC683C" w:rsidRDefault="00FD2153">
      <w:pPr>
        <w:pStyle w:val="Ttol3"/>
        <w:spacing w:before="177"/>
        <w:rPr>
          <w:rFonts w:ascii="Arial"/>
        </w:rPr>
      </w:pPr>
      <w:r>
        <w:rPr>
          <w:rFonts w:ascii="Arial"/>
          <w:color w:val="538135"/>
        </w:rPr>
        <w:t>Response</w:t>
      </w:r>
    </w:p>
    <w:p w:rsidR="00AC683C" w:rsidRDefault="00FD2153">
      <w:pPr>
        <w:pStyle w:val="Ttol2"/>
      </w:pPr>
      <w:r>
        <w:t>Guidance:</w:t>
      </w:r>
    </w:p>
    <w:p w:rsidR="00AC683C" w:rsidRDefault="00FD2153">
      <w:pPr>
        <w:pStyle w:val="Textindependent"/>
        <w:spacing w:before="122"/>
        <w:ind w:right="233"/>
      </w:pPr>
      <w:r>
        <w:t xml:space="preserve">An effective repository strives to accommodate evolutions in data types, data volumes, and data rates, as well as </w:t>
      </w:r>
      <w:r>
        <w:t xml:space="preserve">to adopt the most effective new technologies in order to remain valuable to its Designated Community. Given the rapid pace of change, it is therefore advisable for a repository to secure the advice and feedback of expert users on a regular basis to ensure </w:t>
      </w:r>
      <w:r>
        <w:t>its continued relevance and improvement.</w:t>
      </w:r>
    </w:p>
    <w:p w:rsidR="00AC683C" w:rsidRDefault="00FD2153">
      <w:pPr>
        <w:pStyle w:val="Textindependent"/>
        <w:spacing w:before="180"/>
      </w:pPr>
      <w:r>
        <w:t>For this Requirement, responses should include evidence related to the following questions:</w:t>
      </w:r>
    </w:p>
    <w:p w:rsidR="00AC683C" w:rsidRDefault="00FD2153">
      <w:pPr>
        <w:pStyle w:val="Pargrafdellista"/>
        <w:numPr>
          <w:ilvl w:val="1"/>
          <w:numId w:val="2"/>
        </w:numPr>
        <w:tabs>
          <w:tab w:val="left" w:pos="952"/>
          <w:tab w:val="left" w:pos="954"/>
        </w:tabs>
        <w:spacing w:before="179"/>
        <w:ind w:right="466"/>
      </w:pPr>
      <w:r>
        <w:t>Does the repository have in-house advisers, or an external advisory committee that might be populated with technical, curation, data science, and disciplinary</w:t>
      </w:r>
      <w:r>
        <w:rPr>
          <w:spacing w:val="-14"/>
        </w:rPr>
        <w:t xml:space="preserve"> </w:t>
      </w:r>
      <w:r>
        <w:t>experts?</w:t>
      </w:r>
    </w:p>
    <w:p w:rsidR="00AC683C" w:rsidRDefault="00FD2153">
      <w:pPr>
        <w:pStyle w:val="Pargrafdellista"/>
        <w:numPr>
          <w:ilvl w:val="1"/>
          <w:numId w:val="2"/>
        </w:numPr>
        <w:tabs>
          <w:tab w:val="left" w:pos="952"/>
          <w:tab w:val="left" w:pos="953"/>
        </w:tabs>
        <w:spacing w:before="1" w:line="252" w:lineRule="exact"/>
        <w:ind w:left="952"/>
      </w:pPr>
      <w:r>
        <w:t>How does the repository communicate with the experts for</w:t>
      </w:r>
      <w:r>
        <w:rPr>
          <w:spacing w:val="-13"/>
        </w:rPr>
        <w:t xml:space="preserve"> </w:t>
      </w:r>
      <w:r>
        <w:t>advice?</w:t>
      </w:r>
    </w:p>
    <w:p w:rsidR="00AC683C" w:rsidRDefault="00FD2153">
      <w:pPr>
        <w:pStyle w:val="Pargrafdellista"/>
        <w:numPr>
          <w:ilvl w:val="1"/>
          <w:numId w:val="2"/>
        </w:numPr>
        <w:tabs>
          <w:tab w:val="left" w:pos="952"/>
          <w:tab w:val="left" w:pos="953"/>
        </w:tabs>
        <w:spacing w:line="252" w:lineRule="exact"/>
        <w:ind w:left="952"/>
      </w:pPr>
      <w:r>
        <w:t>How does the repository</w:t>
      </w:r>
      <w:r>
        <w:t xml:space="preserve"> communicate with its Designated Community for</w:t>
      </w:r>
      <w:r>
        <w:rPr>
          <w:spacing w:val="-23"/>
        </w:rPr>
        <w:t xml:space="preserve"> </w:t>
      </w:r>
      <w:r>
        <w:t>feedback?</w:t>
      </w:r>
    </w:p>
    <w:p w:rsidR="00AC683C" w:rsidRDefault="00FD2153">
      <w:pPr>
        <w:pStyle w:val="Textindependent"/>
        <w:spacing w:before="181"/>
        <w:ind w:right="931"/>
      </w:pPr>
      <w:r>
        <w:t>This Requirement seeks to confirm that the repository has access to objective expert advice beyond that provided by skilled staff mentioned in R5 (Organizational infrastructure).</w:t>
      </w:r>
    </w:p>
    <w:p w:rsidR="00AC683C" w:rsidRDefault="000A2A0E">
      <w:pPr>
        <w:pStyle w:val="Ttol2"/>
        <w:spacing w:before="179"/>
      </w:pPr>
      <w:r>
        <w:rPr>
          <w:noProof/>
          <w:lang w:val="es-ES" w:eastAsia="es-ES" w:bidi="ar-SA"/>
        </w:rPr>
        <mc:AlternateContent>
          <mc:Choice Requires="wps">
            <w:drawing>
              <wp:anchor distT="0" distB="0" distL="0" distR="0" simplePos="0" relativeHeight="251681792" behindDoc="1" locked="0" layoutInCell="1" allowOverlap="1">
                <wp:simplePos x="0" y="0"/>
                <wp:positionH relativeFrom="page">
                  <wp:posOffset>647700</wp:posOffset>
                </wp:positionH>
                <wp:positionV relativeFrom="paragraph">
                  <wp:posOffset>370840</wp:posOffset>
                </wp:positionV>
                <wp:extent cx="6262370" cy="835660"/>
                <wp:effectExtent l="0" t="0" r="0" b="0"/>
                <wp:wrapTopAndBottom/>
                <wp:docPr id="1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2370" cy="835660"/>
                        </a:xfrm>
                        <a:prstGeom prst="rect">
                          <a:avLst/>
                        </a:prstGeom>
                        <a:noFill/>
                        <a:ln w="6096">
                          <a:solidFill>
                            <a:srgbClr val="2E75B5"/>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AC683C" w:rsidRDefault="00FD2153">
                            <w:pPr>
                              <w:pStyle w:val="Textindependent"/>
                              <w:spacing w:before="17"/>
                              <w:ind w:left="107" w:right="137"/>
                            </w:pPr>
                            <w:r>
                              <w:rPr>
                                <w:color w:val="2E75B5"/>
                              </w:rPr>
                              <w:t>The reviewer is looking for evidence that the repository is linked to a wider network of expertise in order to demonstrate access to advice and guidance for both its day-to-day activities and the monitoring of potential new challenges on the horizon (commu</w:t>
                            </w:r>
                            <w:r>
                              <w:rPr>
                                <w:color w:val="2E75B5"/>
                              </w:rPr>
                              <w:t>nity and technology watch). If part of this information has already been provided under ‘R0. Brief Description of the Repository’s Designated Community’ and ‘Other relevant information’, the applicant should reference it.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57" type="#_x0000_t202" style="position:absolute;left:0;text-align:left;margin-left:51pt;margin-top:29.2pt;width:493.1pt;height:65.8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" filled="f" strokecolor="#2e75b5" strokeweight=".48pt">
                <v:textbox inset="0,0,0,0">
                  <w:txbxContent>
                    <w:p w:rsidR="00AC683C" w:rsidRDefault="00FD2153">
                      <w:pPr>
                        <w:pStyle w:val="Textindependent"/>
                        <w:spacing w:before="17"/>
                        <w:ind w:left="107" w:right="137"/>
                      </w:pPr>
                      <w:r>
                        <w:rPr>
                          <w:color w:val="2E75B5"/>
                        </w:rPr>
                        <w:t>The reviewer is looking for evidence that the repository is linked to a wider network of expertise in order to demonstrate access to advice and guidance for both its day-to-day activities and the monitoring of potential new challenges on the horizon (commu</w:t>
                      </w:r>
                      <w:r>
                        <w:rPr>
                          <w:color w:val="2E75B5"/>
                        </w:rPr>
                        <w:t>nity and technology watch). If part of this information has already been provided under ‘R0. Brief Description of the Repository’s Designated Community’ and ‘Other relevant information’, the applicant should reference it.</w:t>
                      </w:r>
                    </w:p>
                  </w:txbxContent>
                </v:textbox>
                <w10:wrap type="topAndBottom" anchorx="page"/>
              </v:shape>
            </w:pict>
          </mc:Fallback>
        </mc:AlternateContent>
      </w:r>
      <w:bookmarkStart w:id="48" w:name="Extended_Guidance_R6."/>
      <w:bookmarkEnd w:id="48"/>
      <w:r w:rsidR="00FD2153">
        <w:t>Extended Guidance R6.</w:t>
      </w:r>
    </w:p>
    <w:p w:rsidR="00AC683C" w:rsidRDefault="00AC683C">
      <w:pPr>
        <w:sectPr w:rsidR="00AC683C">
          <w:pgSz w:w="11910" w:h="16840"/>
          <w:pgMar w:top="1020" w:right="900" w:bottom="1060" w:left="900" w:header="724" w:footer="860" w:gutter="0"/>
          <w:cols w:space="720"/>
        </w:sectPr>
      </w:pPr>
    </w:p>
    <w:p w:rsidR="00AC683C" w:rsidRDefault="00FD2153">
      <w:pPr>
        <w:spacing w:before="92"/>
        <w:ind w:left="232"/>
        <w:rPr>
          <w:b/>
          <w:sz w:val="28"/>
        </w:rPr>
      </w:pPr>
      <w:bookmarkStart w:id="49" w:name="Digital_Object_Management"/>
      <w:bookmarkStart w:id="50" w:name="_bookmark21"/>
      <w:bookmarkEnd w:id="49"/>
      <w:bookmarkEnd w:id="50"/>
      <w:r>
        <w:rPr>
          <w:b/>
          <w:sz w:val="28"/>
        </w:rPr>
        <w:lastRenderedPageBreak/>
        <w:t>Digital Object Management</w:t>
      </w:r>
    </w:p>
    <w:p w:rsidR="00AC683C" w:rsidRDefault="00FD2153">
      <w:pPr>
        <w:pStyle w:val="Pargrafdellista"/>
        <w:numPr>
          <w:ilvl w:val="0"/>
          <w:numId w:val="2"/>
        </w:numPr>
        <w:tabs>
          <w:tab w:val="left" w:pos="521"/>
        </w:tabs>
        <w:spacing w:before="121"/>
        <w:rPr>
          <w:b/>
          <w:sz w:val="26"/>
        </w:rPr>
      </w:pPr>
      <w:bookmarkStart w:id="51" w:name="7._Data_integrity_and_authenticity"/>
      <w:bookmarkStart w:id="52" w:name="_bookmark22"/>
      <w:bookmarkEnd w:id="51"/>
      <w:bookmarkEnd w:id="52"/>
      <w:r>
        <w:rPr>
          <w:b/>
          <w:sz w:val="26"/>
        </w:rPr>
        <w:t>Data integrity and</w:t>
      </w:r>
      <w:r>
        <w:rPr>
          <w:b/>
          <w:spacing w:val="-9"/>
          <w:sz w:val="26"/>
        </w:rPr>
        <w:t xml:space="preserve"> </w:t>
      </w:r>
      <w:r>
        <w:rPr>
          <w:b/>
          <w:sz w:val="26"/>
        </w:rPr>
        <w:t>authenticity</w:t>
      </w:r>
    </w:p>
    <w:p w:rsidR="00AC683C" w:rsidRDefault="00FD2153">
      <w:pPr>
        <w:pStyle w:val="Ttol3"/>
        <w:spacing w:before="110"/>
      </w:pPr>
      <w:r>
        <w:rPr>
          <w:color w:val="ED7D31"/>
        </w:rPr>
        <w:t>R7. The repository guarantees the integrity and authenticity of the data.</w:t>
      </w:r>
    </w:p>
    <w:p w:rsidR="00AC683C" w:rsidRDefault="00FD2153">
      <w:pPr>
        <w:pStyle w:val="Textindependent"/>
        <w:spacing w:before="72"/>
      </w:pPr>
      <w:r>
        <w:t>Compliance Level:</w:t>
      </w:r>
    </w:p>
    <w:p w:rsidR="00AC683C" w:rsidRDefault="00FD2153">
      <w:pPr>
        <w:pStyle w:val="Ttol3"/>
        <w:spacing w:before="176"/>
        <w:rPr>
          <w:rFonts w:ascii="Arial"/>
        </w:rPr>
      </w:pPr>
      <w:r>
        <w:rPr>
          <w:rFonts w:ascii="Arial"/>
          <w:color w:val="538135"/>
        </w:rPr>
        <w:t>Response</w:t>
      </w:r>
    </w:p>
    <w:p w:rsidR="00AC683C" w:rsidRDefault="00FD2153">
      <w:pPr>
        <w:pStyle w:val="Ttol2"/>
        <w:spacing w:before="120"/>
      </w:pPr>
      <w:r>
        <w:t>Guidance:</w:t>
      </w:r>
    </w:p>
    <w:p w:rsidR="00AC683C" w:rsidRDefault="00FD2153">
      <w:pPr>
        <w:pStyle w:val="Textindependent"/>
        <w:spacing w:before="122"/>
        <w:ind w:right="257"/>
      </w:pPr>
      <w:r>
        <w:t>The repository should provide evidence to show that it operates a da</w:t>
      </w:r>
      <w:r>
        <w:t>ta and metadata management system suitable for ensuring integrity and authenticity during the processes of ingest, archival storage, and data access. This Requirement covers the entire data lifecycle within the repository.</w:t>
      </w:r>
    </w:p>
    <w:p w:rsidR="00AC683C" w:rsidRDefault="00FD2153">
      <w:pPr>
        <w:pStyle w:val="Textindependent"/>
        <w:spacing w:before="181"/>
        <w:ind w:left="233" w:right="243"/>
      </w:pPr>
      <w:r>
        <w:t xml:space="preserve">To protect the integrity of data </w:t>
      </w:r>
      <w:r>
        <w:t xml:space="preserve">and metadata, any intentional changes to data and metadata should be documented, including the rationale and originator of the change. Measures should be in place to ensure that unintentional or unauthorized changes can be detected and correct versions of </w:t>
      </w:r>
      <w:r>
        <w:t>data and metadata recovered.</w:t>
      </w:r>
    </w:p>
    <w:p w:rsidR="00AC683C" w:rsidRDefault="00FD2153">
      <w:pPr>
        <w:pStyle w:val="Textindependent"/>
        <w:spacing w:before="179"/>
        <w:ind w:left="233" w:right="745"/>
      </w:pPr>
      <w:r>
        <w:t>Authenticity covers the degree of reliability of the original deposited data and its provenance, including the relationship between the original data and that disseminated, and whether or not existing relationships between data</w:t>
      </w:r>
      <w:r>
        <w:t>sets and/or metadata are maintained.</w:t>
      </w:r>
    </w:p>
    <w:p w:rsidR="00AC683C" w:rsidRDefault="00FD2153">
      <w:pPr>
        <w:pStyle w:val="Textindependent"/>
        <w:spacing w:before="181"/>
        <w:ind w:left="233"/>
      </w:pPr>
      <w:r>
        <w:t>For this Requirement, responses on data integrity should include evidence related to the following:</w:t>
      </w:r>
    </w:p>
    <w:p w:rsidR="00AC683C" w:rsidRDefault="00FD2153">
      <w:pPr>
        <w:pStyle w:val="Pargrafdellista"/>
        <w:numPr>
          <w:ilvl w:val="1"/>
          <w:numId w:val="2"/>
        </w:numPr>
        <w:tabs>
          <w:tab w:val="left" w:pos="953"/>
          <w:tab w:val="left" w:pos="954"/>
        </w:tabs>
        <w:spacing w:before="180"/>
        <w:ind w:right="525"/>
      </w:pPr>
      <w:r>
        <w:t>Description of checks to verify that a digital object has not been altered or corrupted (i.e., fixity checks) from depo</w:t>
      </w:r>
      <w:r>
        <w:t>sit to</w:t>
      </w:r>
      <w:r>
        <w:rPr>
          <w:spacing w:val="-4"/>
        </w:rPr>
        <w:t xml:space="preserve"> </w:t>
      </w:r>
      <w:r>
        <w:t>use.</w:t>
      </w:r>
    </w:p>
    <w:p w:rsidR="00AC683C" w:rsidRDefault="00FD2153">
      <w:pPr>
        <w:pStyle w:val="Pargrafdellista"/>
        <w:numPr>
          <w:ilvl w:val="1"/>
          <w:numId w:val="2"/>
        </w:numPr>
        <w:tabs>
          <w:tab w:val="left" w:pos="952"/>
          <w:tab w:val="left" w:pos="953"/>
        </w:tabs>
        <w:spacing w:line="252" w:lineRule="exact"/>
        <w:ind w:left="952"/>
      </w:pPr>
      <w:r>
        <w:t>Documentation of the completeness of the data and</w:t>
      </w:r>
      <w:r>
        <w:rPr>
          <w:spacing w:val="-9"/>
        </w:rPr>
        <w:t xml:space="preserve"> </w:t>
      </w:r>
      <w:r>
        <w:t>metadata.</w:t>
      </w:r>
    </w:p>
    <w:p w:rsidR="00AC683C" w:rsidRDefault="00FD2153">
      <w:pPr>
        <w:pStyle w:val="Pargrafdellista"/>
        <w:numPr>
          <w:ilvl w:val="1"/>
          <w:numId w:val="2"/>
        </w:numPr>
        <w:tabs>
          <w:tab w:val="left" w:pos="952"/>
          <w:tab w:val="left" w:pos="953"/>
        </w:tabs>
        <w:spacing w:line="252" w:lineRule="exact"/>
        <w:ind w:left="952"/>
      </w:pPr>
      <w:r>
        <w:t>Details of how all changes to the data and metadata are</w:t>
      </w:r>
      <w:r>
        <w:rPr>
          <w:spacing w:val="-9"/>
        </w:rPr>
        <w:t xml:space="preserve"> </w:t>
      </w:r>
      <w:r>
        <w:t>logged.</w:t>
      </w:r>
    </w:p>
    <w:p w:rsidR="00AC683C" w:rsidRDefault="00FD2153">
      <w:pPr>
        <w:pStyle w:val="Pargrafdellista"/>
        <w:numPr>
          <w:ilvl w:val="1"/>
          <w:numId w:val="2"/>
        </w:numPr>
        <w:tabs>
          <w:tab w:val="left" w:pos="952"/>
          <w:tab w:val="left" w:pos="953"/>
        </w:tabs>
        <w:spacing w:before="2" w:line="252" w:lineRule="exact"/>
        <w:ind w:left="952"/>
      </w:pPr>
      <w:r>
        <w:t>Description of version control</w:t>
      </w:r>
      <w:r>
        <w:rPr>
          <w:spacing w:val="1"/>
        </w:rPr>
        <w:t xml:space="preserve"> </w:t>
      </w:r>
      <w:r>
        <w:t>strategy.</w:t>
      </w:r>
    </w:p>
    <w:p w:rsidR="00AC683C" w:rsidRDefault="00FD2153">
      <w:pPr>
        <w:pStyle w:val="Pargrafdellista"/>
        <w:numPr>
          <w:ilvl w:val="1"/>
          <w:numId w:val="2"/>
        </w:numPr>
        <w:tabs>
          <w:tab w:val="left" w:pos="952"/>
          <w:tab w:val="left" w:pos="953"/>
        </w:tabs>
        <w:spacing w:line="410" w:lineRule="auto"/>
        <w:ind w:left="232" w:right="371" w:firstLine="360"/>
      </w:pPr>
      <w:r>
        <w:t>Usage of appropriate international standards and conventions (which should be specified). Evidence of authenticity management should relate to the following</w:t>
      </w:r>
      <w:r>
        <w:rPr>
          <w:spacing w:val="-12"/>
        </w:rPr>
        <w:t xml:space="preserve"> </w:t>
      </w:r>
      <w:r>
        <w:t>questions:</w:t>
      </w:r>
    </w:p>
    <w:p w:rsidR="00AC683C" w:rsidRDefault="00FD2153">
      <w:pPr>
        <w:pStyle w:val="Pargrafdellista"/>
        <w:numPr>
          <w:ilvl w:val="1"/>
          <w:numId w:val="2"/>
        </w:numPr>
        <w:tabs>
          <w:tab w:val="left" w:pos="952"/>
          <w:tab w:val="left" w:pos="954"/>
        </w:tabs>
        <w:ind w:right="405"/>
      </w:pPr>
      <w:r>
        <w:t>Does the repository have a strategy for data changes? Are data producers made aware of t</w:t>
      </w:r>
      <w:r>
        <w:t>his strategy?</w:t>
      </w:r>
    </w:p>
    <w:p w:rsidR="00AC683C" w:rsidRDefault="00FD2153">
      <w:pPr>
        <w:pStyle w:val="Pargrafdellista"/>
        <w:numPr>
          <w:ilvl w:val="1"/>
          <w:numId w:val="2"/>
        </w:numPr>
        <w:tabs>
          <w:tab w:val="left" w:pos="952"/>
          <w:tab w:val="left" w:pos="953"/>
        </w:tabs>
        <w:spacing w:before="1" w:line="252" w:lineRule="exact"/>
        <w:ind w:left="952"/>
      </w:pPr>
      <w:r>
        <w:t>Does the repository maintain provenance data and related audit</w:t>
      </w:r>
      <w:r>
        <w:rPr>
          <w:spacing w:val="-11"/>
        </w:rPr>
        <w:t xml:space="preserve"> </w:t>
      </w:r>
      <w:r>
        <w:t>trails?</w:t>
      </w:r>
    </w:p>
    <w:p w:rsidR="00AC683C" w:rsidRDefault="00FD2153">
      <w:pPr>
        <w:pStyle w:val="Pargrafdellista"/>
        <w:numPr>
          <w:ilvl w:val="1"/>
          <w:numId w:val="2"/>
        </w:numPr>
        <w:tabs>
          <w:tab w:val="left" w:pos="952"/>
          <w:tab w:val="left" w:pos="953"/>
        </w:tabs>
        <w:spacing w:line="252" w:lineRule="exact"/>
        <w:ind w:left="952"/>
      </w:pPr>
      <w:r>
        <w:t>Does the repository maintain links to metadata and to other datasets? If so,</w:t>
      </w:r>
      <w:r>
        <w:rPr>
          <w:spacing w:val="-18"/>
        </w:rPr>
        <w:t xml:space="preserve"> </w:t>
      </w:r>
      <w:r>
        <w:t>how?</w:t>
      </w:r>
    </w:p>
    <w:p w:rsidR="00AC683C" w:rsidRDefault="00FD2153">
      <w:pPr>
        <w:pStyle w:val="Pargrafdellista"/>
        <w:numPr>
          <w:ilvl w:val="1"/>
          <w:numId w:val="2"/>
        </w:numPr>
        <w:tabs>
          <w:tab w:val="left" w:pos="952"/>
          <w:tab w:val="left" w:pos="953"/>
        </w:tabs>
        <w:ind w:left="952" w:right="331"/>
      </w:pPr>
      <w:r>
        <w:t>Does the repository compare the essential properties of different versions of the same fi</w:t>
      </w:r>
      <w:r>
        <w:t>le? How?</w:t>
      </w:r>
    </w:p>
    <w:p w:rsidR="00AC683C" w:rsidRDefault="00FD2153">
      <w:pPr>
        <w:pStyle w:val="Pargrafdellista"/>
        <w:numPr>
          <w:ilvl w:val="1"/>
          <w:numId w:val="2"/>
        </w:numPr>
        <w:tabs>
          <w:tab w:val="left" w:pos="952"/>
          <w:tab w:val="left" w:pos="953"/>
        </w:tabs>
        <w:ind w:left="952"/>
      </w:pPr>
      <w:r>
        <w:t>Does the repository check the identities of</w:t>
      </w:r>
      <w:r>
        <w:rPr>
          <w:spacing w:val="-7"/>
        </w:rPr>
        <w:t xml:space="preserve"> </w:t>
      </w:r>
      <w:r>
        <w:t>depositors?</w:t>
      </w:r>
    </w:p>
    <w:p w:rsidR="00AC683C" w:rsidRDefault="000A2A0E">
      <w:pPr>
        <w:pStyle w:val="Ttol2"/>
        <w:spacing w:before="179"/>
      </w:pPr>
      <w:r>
        <w:rPr>
          <w:noProof/>
          <w:lang w:val="es-ES" w:eastAsia="es-ES" w:bidi="ar-SA"/>
        </w:rPr>
        <mc:AlternateContent>
          <mc:Choice Requires="wps">
            <w:drawing>
              <wp:anchor distT="0" distB="0" distL="0" distR="0" simplePos="0" relativeHeight="251682816" behindDoc="1" locked="0" layoutInCell="1" allowOverlap="1">
                <wp:simplePos x="0" y="0"/>
                <wp:positionH relativeFrom="page">
                  <wp:posOffset>647700</wp:posOffset>
                </wp:positionH>
                <wp:positionV relativeFrom="paragraph">
                  <wp:posOffset>370840</wp:posOffset>
                </wp:positionV>
                <wp:extent cx="6262370" cy="1431290"/>
                <wp:effectExtent l="0" t="0" r="0" b="0"/>
                <wp:wrapTopAndBottom/>
                <wp:docPr id="1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2370" cy="1431290"/>
                        </a:xfrm>
                        <a:prstGeom prst="rect">
                          <a:avLst/>
                        </a:prstGeom>
                        <a:noFill/>
                        <a:ln w="6096">
                          <a:solidFill>
                            <a:srgbClr val="2E75B5"/>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AC683C" w:rsidRDefault="00FD2153">
                            <w:pPr>
                              <w:pStyle w:val="Textindependent"/>
                              <w:spacing w:before="17"/>
                              <w:ind w:left="107" w:right="150"/>
                            </w:pPr>
                            <w:r>
                              <w:rPr>
                                <w:color w:val="2E75B5"/>
                              </w:rPr>
                              <w:t>The reviewer will benefit from a clear overview of the processes and tools used to ensure that data authenticity and integrity are protected throughout the entire curation lifecycle—includ</w:t>
                            </w:r>
                            <w:r>
                              <w:rPr>
                                <w:color w:val="2E75B5"/>
                              </w:rPr>
                              <w:t>ing the level of manual and automated practice—and how such processes, tools, and practices are documented. As defined in the Guidance of the Requirement, the applicant may find it useful to respond to each bullet point separately, and to address integrity</w:t>
                            </w:r>
                            <w:r>
                              <w:rPr>
                                <w:color w:val="2E75B5"/>
                              </w:rPr>
                              <w:t xml:space="preserve"> and authenticity independently (note that the response must be written in full prose).</w:t>
                            </w:r>
                          </w:p>
                          <w:p w:rsidR="00AC683C" w:rsidRDefault="00FD2153">
                            <w:pPr>
                              <w:pStyle w:val="Textindependent"/>
                              <w:spacing w:before="181"/>
                              <w:ind w:left="107" w:right="211"/>
                            </w:pPr>
                            <w:r>
                              <w:rPr>
                                <w:color w:val="2E75B5"/>
                              </w:rPr>
                              <w:t>Audit trails, which are written records of the actions performed on the data, should be described in the evidence provided.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58" type="#_x0000_t202" style="position:absolute;left:0;text-align:left;margin-left:51pt;margin-top:29.2pt;width:493.1pt;height:112.7pt;z-index:-2516336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" filled="f" strokecolor="#2e75b5" strokeweight=".48pt">
                <v:textbox inset="0,0,0,0">
                  <w:txbxContent>
                    <w:p w:rsidR="00AC683C" w:rsidRDefault="00FD2153">
                      <w:pPr>
                        <w:pStyle w:val="Textindependent"/>
                        <w:spacing w:before="17"/>
                        <w:ind w:left="107" w:right="150"/>
                      </w:pPr>
                      <w:r>
                        <w:rPr>
                          <w:color w:val="2E75B5"/>
                        </w:rPr>
                        <w:t>The reviewer will benefit from a clear overview of the processes and tools used to ensure that data authenticity and integrity are protected throughout the entire curation lifecycle—includ</w:t>
                      </w:r>
                      <w:r>
                        <w:rPr>
                          <w:color w:val="2E75B5"/>
                        </w:rPr>
                        <w:t>ing the level of manual and automated practice—and how such processes, tools, and practices are documented. As defined in the Guidance of the Requirement, the applicant may find it useful to respond to each bullet point separately, and to address integrity</w:t>
                      </w:r>
                      <w:r>
                        <w:rPr>
                          <w:color w:val="2E75B5"/>
                        </w:rPr>
                        <w:t xml:space="preserve"> and authenticity independently (note that the response must be written in full prose).</w:t>
                      </w:r>
                    </w:p>
                    <w:p w:rsidR="00AC683C" w:rsidRDefault="00FD2153">
                      <w:pPr>
                        <w:pStyle w:val="Textindependent"/>
                        <w:spacing w:before="181"/>
                        <w:ind w:left="107" w:right="211"/>
                      </w:pPr>
                      <w:r>
                        <w:rPr>
                          <w:color w:val="2E75B5"/>
                        </w:rPr>
                        <w:t>Audit trails, which are written records of the actions performed on the data, should be described in the evidence provided.</w:t>
                      </w:r>
                    </w:p>
                  </w:txbxContent>
                </v:textbox>
                <w10:wrap type="topAndBottom" anchorx="page"/>
              </v:shape>
            </w:pict>
          </mc:Fallback>
        </mc:AlternateContent>
      </w:r>
      <w:bookmarkStart w:id="53" w:name="Extended_Guidance_R7."/>
      <w:bookmarkEnd w:id="53"/>
      <w:r w:rsidR="00FD2153">
        <w:t>Extended Guidance R7.</w:t>
      </w:r>
    </w:p>
    <w:p w:rsidR="00AC683C" w:rsidRDefault="00AC683C">
      <w:pPr>
        <w:sectPr w:rsidR="00AC683C">
          <w:pgSz w:w="11910" w:h="16840"/>
          <w:pgMar w:top="1020" w:right="900" w:bottom="1060" w:left="900" w:header="724" w:footer="860" w:gutter="0"/>
          <w:cols w:space="720"/>
        </w:sectPr>
      </w:pPr>
    </w:p>
    <w:p w:rsidR="00AC683C" w:rsidRDefault="00FD2153">
      <w:pPr>
        <w:pStyle w:val="Pargrafdellista"/>
        <w:numPr>
          <w:ilvl w:val="0"/>
          <w:numId w:val="2"/>
        </w:numPr>
        <w:tabs>
          <w:tab w:val="left" w:pos="526"/>
        </w:tabs>
        <w:spacing w:before="91"/>
        <w:ind w:left="525" w:hanging="294"/>
        <w:rPr>
          <w:b/>
          <w:sz w:val="26"/>
        </w:rPr>
      </w:pPr>
      <w:bookmarkStart w:id="54" w:name="8._Appraisal"/>
      <w:bookmarkStart w:id="55" w:name="_bookmark23"/>
      <w:bookmarkEnd w:id="54"/>
      <w:bookmarkEnd w:id="55"/>
      <w:r>
        <w:rPr>
          <w:b/>
          <w:sz w:val="26"/>
        </w:rPr>
        <w:lastRenderedPageBreak/>
        <w:t>A</w:t>
      </w:r>
      <w:r>
        <w:rPr>
          <w:b/>
          <w:sz w:val="26"/>
        </w:rPr>
        <w:t>ppraisal</w:t>
      </w:r>
    </w:p>
    <w:p w:rsidR="00AC683C" w:rsidRDefault="00FD2153">
      <w:pPr>
        <w:pStyle w:val="Ttol3"/>
        <w:ind w:right="308"/>
      </w:pPr>
      <w:r>
        <w:rPr>
          <w:color w:val="ED7D31"/>
        </w:rPr>
        <w:t>R8. The repository accepts data and metadata based on defined criteria to ensure relevance and understandability for data users.</w:t>
      </w:r>
    </w:p>
    <w:p w:rsidR="00AC683C" w:rsidRDefault="00FD2153">
      <w:pPr>
        <w:pStyle w:val="Textindependent"/>
        <w:spacing w:before="70"/>
      </w:pPr>
      <w:r>
        <w:t>Compliance Level:</w:t>
      </w:r>
    </w:p>
    <w:p w:rsidR="00AC683C" w:rsidRDefault="00FD2153">
      <w:pPr>
        <w:pStyle w:val="Ttol3"/>
        <w:spacing w:before="177"/>
        <w:rPr>
          <w:rFonts w:ascii="Arial"/>
        </w:rPr>
      </w:pPr>
      <w:r>
        <w:rPr>
          <w:rFonts w:ascii="Arial"/>
          <w:color w:val="538135"/>
        </w:rPr>
        <w:t>Response</w:t>
      </w:r>
    </w:p>
    <w:p w:rsidR="00AC683C" w:rsidRDefault="00FD2153">
      <w:pPr>
        <w:pStyle w:val="Ttol2"/>
      </w:pPr>
      <w:r>
        <w:t>Guidance:</w:t>
      </w:r>
    </w:p>
    <w:p w:rsidR="00AC683C" w:rsidRDefault="00FD2153">
      <w:pPr>
        <w:pStyle w:val="Textindependent"/>
        <w:spacing w:before="122"/>
        <w:ind w:right="270"/>
      </w:pPr>
      <w:r>
        <w:t>The appraisal function is critical to evaluate whether data meet all criteria for</w:t>
      </w:r>
      <w:r>
        <w:t xml:space="preserve"> selection and to ensure appropriate management for their preservation. Appraisal and reappraisal over time ensure data remain relevant and understandable to the Designated Community.</w:t>
      </w:r>
    </w:p>
    <w:p w:rsidR="00AC683C" w:rsidRDefault="00FD2153">
      <w:pPr>
        <w:pStyle w:val="Textindependent"/>
        <w:spacing w:before="180"/>
      </w:pPr>
      <w:r>
        <w:t>For this Requirement, responses should include evidence related to the f</w:t>
      </w:r>
      <w:r>
        <w:t>ollowing questions:</w:t>
      </w:r>
    </w:p>
    <w:p w:rsidR="00AC683C" w:rsidRDefault="00FD2153">
      <w:pPr>
        <w:pStyle w:val="Pargrafdellista"/>
        <w:numPr>
          <w:ilvl w:val="1"/>
          <w:numId w:val="2"/>
        </w:numPr>
        <w:tabs>
          <w:tab w:val="left" w:pos="952"/>
          <w:tab w:val="left" w:pos="954"/>
        </w:tabs>
        <w:spacing w:before="179"/>
        <w:ind w:right="529"/>
      </w:pPr>
      <w:r>
        <w:t>Does the repository use a collection development policy to guide the selection of data for archiving?</w:t>
      </w:r>
    </w:p>
    <w:p w:rsidR="00AC683C" w:rsidRDefault="00FD2153">
      <w:pPr>
        <w:pStyle w:val="Pargrafdellista"/>
        <w:numPr>
          <w:ilvl w:val="1"/>
          <w:numId w:val="2"/>
        </w:numPr>
        <w:tabs>
          <w:tab w:val="left" w:pos="952"/>
          <w:tab w:val="left" w:pos="953"/>
        </w:tabs>
        <w:ind w:left="952"/>
      </w:pPr>
      <w:r>
        <w:t>What approach is used for data that do not fall within the mission/collection</w:t>
      </w:r>
      <w:r>
        <w:rPr>
          <w:spacing w:val="-20"/>
        </w:rPr>
        <w:t xml:space="preserve"> </w:t>
      </w:r>
      <w:r>
        <w:t>profile?</w:t>
      </w:r>
    </w:p>
    <w:p w:rsidR="00AC683C" w:rsidRDefault="00FD2153">
      <w:pPr>
        <w:pStyle w:val="Pargrafdellista"/>
        <w:numPr>
          <w:ilvl w:val="1"/>
          <w:numId w:val="2"/>
        </w:numPr>
        <w:tabs>
          <w:tab w:val="left" w:pos="952"/>
          <w:tab w:val="left" w:pos="953"/>
        </w:tabs>
        <w:spacing w:before="2"/>
        <w:ind w:left="952" w:right="551"/>
      </w:pPr>
      <w:r>
        <w:t>Does the repository have procedures in place to</w:t>
      </w:r>
      <w:r>
        <w:t xml:space="preserve"> determine that the metadata required to interpret and use the data are</w:t>
      </w:r>
      <w:r>
        <w:rPr>
          <w:spacing w:val="-8"/>
        </w:rPr>
        <w:t xml:space="preserve"> </w:t>
      </w:r>
      <w:r>
        <w:t>provided?</w:t>
      </w:r>
    </w:p>
    <w:p w:rsidR="00AC683C" w:rsidRDefault="00FD2153">
      <w:pPr>
        <w:pStyle w:val="Pargrafdellista"/>
        <w:numPr>
          <w:ilvl w:val="1"/>
          <w:numId w:val="2"/>
        </w:numPr>
        <w:tabs>
          <w:tab w:val="left" w:pos="952"/>
          <w:tab w:val="left" w:pos="953"/>
        </w:tabs>
        <w:spacing w:line="251" w:lineRule="exact"/>
        <w:ind w:left="952"/>
      </w:pPr>
      <w:r>
        <w:t>Is there any automated assessment of metadata adherence to relevant</w:t>
      </w:r>
      <w:r>
        <w:rPr>
          <w:spacing w:val="-20"/>
        </w:rPr>
        <w:t xml:space="preserve"> </w:t>
      </w:r>
      <w:r>
        <w:t>schemas?</w:t>
      </w:r>
    </w:p>
    <w:p w:rsidR="00AC683C" w:rsidRDefault="00FD2153">
      <w:pPr>
        <w:pStyle w:val="Pargrafdellista"/>
        <w:numPr>
          <w:ilvl w:val="1"/>
          <w:numId w:val="2"/>
        </w:numPr>
        <w:tabs>
          <w:tab w:val="left" w:pos="952"/>
          <w:tab w:val="left" w:pos="953"/>
        </w:tabs>
        <w:spacing w:before="1"/>
        <w:ind w:left="952" w:right="673"/>
      </w:pPr>
      <w:r>
        <w:t>What is the repository’s approach if the metadata provided are insufficient for long-term preservation?</w:t>
      </w:r>
    </w:p>
    <w:p w:rsidR="00AC683C" w:rsidRDefault="00FD2153">
      <w:pPr>
        <w:pStyle w:val="Pargrafdellista"/>
        <w:numPr>
          <w:ilvl w:val="1"/>
          <w:numId w:val="2"/>
        </w:numPr>
        <w:tabs>
          <w:tab w:val="left" w:pos="952"/>
          <w:tab w:val="left" w:pos="953"/>
        </w:tabs>
        <w:spacing w:before="1" w:line="252" w:lineRule="exact"/>
        <w:ind w:left="952"/>
      </w:pPr>
      <w:r>
        <w:t>Does the repository publish a list of preferred</w:t>
      </w:r>
      <w:r>
        <w:rPr>
          <w:spacing w:val="-6"/>
        </w:rPr>
        <w:t xml:space="preserve"> </w:t>
      </w:r>
      <w:r>
        <w:t>formats?</w:t>
      </w:r>
    </w:p>
    <w:p w:rsidR="00AC683C" w:rsidRDefault="00FD2153">
      <w:pPr>
        <w:pStyle w:val="Pargrafdellista"/>
        <w:numPr>
          <w:ilvl w:val="1"/>
          <w:numId w:val="2"/>
        </w:numPr>
        <w:tabs>
          <w:tab w:val="left" w:pos="952"/>
          <w:tab w:val="left" w:pos="953"/>
        </w:tabs>
        <w:spacing w:line="252" w:lineRule="exact"/>
        <w:ind w:left="952"/>
      </w:pPr>
      <w:r>
        <w:t>Are checks in place to ensure that data producers adhere to the preferred</w:t>
      </w:r>
      <w:r>
        <w:rPr>
          <w:spacing w:val="-23"/>
        </w:rPr>
        <w:t xml:space="preserve"> </w:t>
      </w:r>
      <w:r>
        <w:t>formats?</w:t>
      </w:r>
    </w:p>
    <w:p w:rsidR="00AC683C" w:rsidRDefault="00FD2153">
      <w:pPr>
        <w:pStyle w:val="Pargrafdellista"/>
        <w:numPr>
          <w:ilvl w:val="1"/>
          <w:numId w:val="2"/>
        </w:numPr>
        <w:tabs>
          <w:tab w:val="left" w:pos="952"/>
          <w:tab w:val="left" w:pos="953"/>
        </w:tabs>
        <w:spacing w:line="252" w:lineRule="exact"/>
        <w:ind w:left="952"/>
      </w:pPr>
      <w:r>
        <w:t>What is the approach towards data that are deposited in non-preferred</w:t>
      </w:r>
      <w:r>
        <w:rPr>
          <w:spacing w:val="-16"/>
        </w:rPr>
        <w:t xml:space="preserve"> </w:t>
      </w:r>
      <w:r>
        <w:t>formats?</w:t>
      </w:r>
    </w:p>
    <w:p w:rsidR="00AC683C" w:rsidRDefault="00FD2153">
      <w:pPr>
        <w:pStyle w:val="Pargrafdellista"/>
        <w:numPr>
          <w:ilvl w:val="1"/>
          <w:numId w:val="2"/>
        </w:numPr>
        <w:tabs>
          <w:tab w:val="left" w:pos="952"/>
          <w:tab w:val="left" w:pos="953"/>
        </w:tabs>
        <w:spacing w:before="1"/>
        <w:ind w:left="952" w:right="234"/>
      </w:pPr>
      <w:r>
        <w:t>What is the process for removing items from your collection, also keeping in mind impact on existing persistent</w:t>
      </w:r>
      <w:r>
        <w:rPr>
          <w:spacing w:val="1"/>
        </w:rPr>
        <w:t xml:space="preserve"> </w:t>
      </w:r>
      <w:r>
        <w:t>identifiers?</w:t>
      </w:r>
    </w:p>
    <w:p w:rsidR="00AC683C" w:rsidRDefault="00FD2153">
      <w:pPr>
        <w:pStyle w:val="Textindependent"/>
        <w:spacing w:before="181"/>
        <w:ind w:right="747"/>
      </w:pPr>
      <w:r>
        <w:t>This Requirement covers the selection criteria appli</w:t>
      </w:r>
      <w:r>
        <w:t>ed at the point of deposit. Data quality and improvement during the curation process should be covered under R11 (Data quality).</w:t>
      </w:r>
    </w:p>
    <w:p w:rsidR="00AC683C" w:rsidRDefault="000A2A0E">
      <w:pPr>
        <w:pStyle w:val="Ttol2"/>
        <w:spacing w:before="176"/>
      </w:pPr>
      <w:r>
        <w:rPr>
          <w:noProof/>
          <w:lang w:val="es-ES" w:eastAsia="es-ES" w:bidi="ar-SA"/>
        </w:rPr>
        <mc:AlternateContent>
          <mc:Choice Requires="wps">
            <w:drawing>
              <wp:anchor distT="0" distB="0" distL="0" distR="0" simplePos="0" relativeHeight="251683840" behindDoc="1" locked="0" layoutInCell="1" allowOverlap="1">
                <wp:simplePos x="0" y="0"/>
                <wp:positionH relativeFrom="page">
                  <wp:posOffset>647700</wp:posOffset>
                </wp:positionH>
                <wp:positionV relativeFrom="paragraph">
                  <wp:posOffset>368935</wp:posOffset>
                </wp:positionV>
                <wp:extent cx="6262370" cy="1592580"/>
                <wp:effectExtent l="0" t="0" r="0" b="0"/>
                <wp:wrapTopAndBottom/>
                <wp:docPr id="1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2370" cy="1592580"/>
                        </a:xfrm>
                        <a:prstGeom prst="rect">
                          <a:avLst/>
                        </a:prstGeom>
                        <a:noFill/>
                        <a:ln w="6096">
                          <a:solidFill>
                            <a:srgbClr val="2E75B5"/>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AC683C" w:rsidRDefault="00FD2153">
                            <w:pPr>
                              <w:pStyle w:val="Textindependent"/>
                              <w:spacing w:before="17"/>
                              <w:ind w:left="107" w:right="235"/>
                            </w:pPr>
                            <w:r>
                              <w:rPr>
                                <w:color w:val="2E75B5"/>
                              </w:rPr>
                              <w:t>The applicant should demonstrate procedures are in place to ensure that only data appropriate to the collection policy are a</w:t>
                            </w:r>
                            <w:r>
                              <w:rPr>
                                <w:color w:val="2E75B5"/>
                              </w:rPr>
                              <w:t>ccepted. Repository staff should have all the necessary information, procedures, and expert knowledge to ensure long-term preservation and use as applicable for the Designated Community.</w:t>
                            </w:r>
                          </w:p>
                          <w:p w:rsidR="00AC683C" w:rsidRDefault="00FD2153">
                            <w:pPr>
                              <w:pStyle w:val="Textindependent"/>
                              <w:spacing w:before="183"/>
                              <w:ind w:left="107" w:right="174"/>
                            </w:pPr>
                            <w:r>
                              <w:rPr>
                                <w:color w:val="2E75B5"/>
                              </w:rPr>
                              <w:t>For the collection to remain relevant to and usable by the Designated</w:t>
                            </w:r>
                            <w:r>
                              <w:rPr>
                                <w:color w:val="2E75B5"/>
                              </w:rPr>
                              <w:t xml:space="preserve"> Community—particularly in light of changes in technology, culture, or legislation (e.g., data protection or intellectual property rights)—selection criteria may have to be revised over time and digital assets reappraised accordingly. Policies and document</w:t>
                            </w:r>
                            <w:r>
                              <w:rPr>
                                <w:color w:val="2E75B5"/>
                              </w:rPr>
                              <w:t>ed procedures should be in place for the removal of items from a collection.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59" type="#_x0000_t202" style="position:absolute;left:0;text-align:left;margin-left:51pt;margin-top:29.05pt;width:493.1pt;height:125.4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" filled="f" strokecolor="#2e75b5" strokeweight=".48pt">
                <v:textbox inset="0,0,0,0">
                  <w:txbxContent>
                    <w:p w:rsidR="00AC683C" w:rsidRDefault="00FD2153">
                      <w:pPr>
                        <w:pStyle w:val="Textindependent"/>
                        <w:spacing w:before="17"/>
                        <w:ind w:left="107" w:right="235"/>
                      </w:pPr>
                      <w:r>
                        <w:rPr>
                          <w:color w:val="2E75B5"/>
                        </w:rPr>
                        <w:t>The applicant should demonstrate procedures are in place to ensure that only data appropriate to the collection policy are a</w:t>
                      </w:r>
                      <w:r>
                        <w:rPr>
                          <w:color w:val="2E75B5"/>
                        </w:rPr>
                        <w:t>ccepted. Repository staff should have all the necessary information, procedures, and expert knowledge to ensure long-term preservation and use as applicable for the Designated Community.</w:t>
                      </w:r>
                    </w:p>
                    <w:p w:rsidR="00AC683C" w:rsidRDefault="00FD2153">
                      <w:pPr>
                        <w:pStyle w:val="Textindependent"/>
                        <w:spacing w:before="183"/>
                        <w:ind w:left="107" w:right="174"/>
                      </w:pPr>
                      <w:r>
                        <w:rPr>
                          <w:color w:val="2E75B5"/>
                        </w:rPr>
                        <w:t>For the collection to remain relevant to and usable by the Designated</w:t>
                      </w:r>
                      <w:r>
                        <w:rPr>
                          <w:color w:val="2E75B5"/>
                        </w:rPr>
                        <w:t xml:space="preserve"> Community—particularly in light of changes in technology, culture, or legislation (e.g., data protection or intellectual property rights)—selection criteria may have to be revised over time and digital assets reappraised accordingly. Policies and document</w:t>
                      </w:r>
                      <w:r>
                        <w:rPr>
                          <w:color w:val="2E75B5"/>
                        </w:rPr>
                        <w:t>ed procedures should be in place for the removal of items from a collection.</w:t>
                      </w:r>
                    </w:p>
                  </w:txbxContent>
                </v:textbox>
                <w10:wrap type="topAndBottom" anchorx="page"/>
              </v:shape>
            </w:pict>
          </mc:Fallback>
        </mc:AlternateContent>
      </w:r>
      <w:bookmarkStart w:id="56" w:name="Extended_Guidance_R8."/>
      <w:bookmarkEnd w:id="56"/>
      <w:r w:rsidR="00FD2153">
        <w:t>Extended Guidance R8.</w:t>
      </w:r>
    </w:p>
    <w:p w:rsidR="00AC683C" w:rsidRDefault="00AC683C">
      <w:pPr>
        <w:sectPr w:rsidR="00AC683C">
          <w:pgSz w:w="11910" w:h="16840"/>
          <w:pgMar w:top="1020" w:right="900" w:bottom="1060" w:left="900" w:header="724" w:footer="860" w:gutter="0"/>
          <w:cols w:space="720"/>
        </w:sectPr>
      </w:pPr>
    </w:p>
    <w:p w:rsidR="00AC683C" w:rsidRDefault="00FD2153">
      <w:pPr>
        <w:pStyle w:val="Pargrafdellista"/>
        <w:numPr>
          <w:ilvl w:val="0"/>
          <w:numId w:val="2"/>
        </w:numPr>
        <w:tabs>
          <w:tab w:val="left" w:pos="521"/>
        </w:tabs>
        <w:spacing w:before="91"/>
        <w:rPr>
          <w:b/>
          <w:sz w:val="26"/>
        </w:rPr>
      </w:pPr>
      <w:bookmarkStart w:id="57" w:name="9._Documented_storage_procedures"/>
      <w:bookmarkStart w:id="58" w:name="_bookmark24"/>
      <w:bookmarkEnd w:id="57"/>
      <w:bookmarkEnd w:id="58"/>
      <w:r>
        <w:rPr>
          <w:b/>
          <w:sz w:val="26"/>
        </w:rPr>
        <w:lastRenderedPageBreak/>
        <w:t>Documented storage</w:t>
      </w:r>
      <w:r>
        <w:rPr>
          <w:b/>
          <w:spacing w:val="-3"/>
          <w:sz w:val="26"/>
        </w:rPr>
        <w:t xml:space="preserve"> </w:t>
      </w:r>
      <w:r>
        <w:rPr>
          <w:b/>
          <w:sz w:val="26"/>
        </w:rPr>
        <w:t>procedures</w:t>
      </w:r>
    </w:p>
    <w:p w:rsidR="00AC683C" w:rsidRDefault="00FD2153">
      <w:pPr>
        <w:pStyle w:val="Ttol3"/>
        <w:ind w:right="883"/>
      </w:pPr>
      <w:r>
        <w:rPr>
          <w:color w:val="ED7D31"/>
        </w:rPr>
        <w:t>R9. The repository applies documented processes and procedures in managing archival storage of the data.</w:t>
      </w:r>
    </w:p>
    <w:p w:rsidR="00AC683C" w:rsidRDefault="00FD2153">
      <w:pPr>
        <w:pStyle w:val="Textindependent"/>
        <w:spacing w:before="70"/>
      </w:pPr>
      <w:r>
        <w:t>Compliance Level:</w:t>
      </w:r>
    </w:p>
    <w:p w:rsidR="00AC683C" w:rsidRDefault="00FD2153">
      <w:pPr>
        <w:pStyle w:val="Ttol3"/>
        <w:spacing w:before="177"/>
        <w:rPr>
          <w:rFonts w:ascii="Arial"/>
        </w:rPr>
      </w:pPr>
      <w:r>
        <w:rPr>
          <w:rFonts w:ascii="Arial"/>
          <w:color w:val="538135"/>
        </w:rPr>
        <w:t>Response</w:t>
      </w:r>
    </w:p>
    <w:p w:rsidR="00AC683C" w:rsidRDefault="00FD2153">
      <w:pPr>
        <w:pStyle w:val="Ttol2"/>
      </w:pPr>
      <w:r>
        <w:t>Guidance:</w:t>
      </w:r>
    </w:p>
    <w:p w:rsidR="00AC683C" w:rsidRDefault="00FD2153">
      <w:pPr>
        <w:pStyle w:val="Textindependent"/>
        <w:spacing w:before="122"/>
        <w:ind w:right="479"/>
      </w:pPr>
      <w:r>
        <w:t>Repositories need to store data and metadata from the point of deposit, through the ingest process, to the point of access. Repositories that perform digital preservation must offer ‘archival storage’ in OAIS terms.</w:t>
      </w:r>
    </w:p>
    <w:p w:rsidR="00AC683C" w:rsidRDefault="00FD2153">
      <w:pPr>
        <w:pStyle w:val="Textindependent"/>
        <w:spacing w:before="180"/>
      </w:pPr>
      <w:r>
        <w:t>For</w:t>
      </w:r>
      <w:r>
        <w:t xml:space="preserve"> this Requirement, responses should include evidence related to the following questions:</w:t>
      </w:r>
    </w:p>
    <w:p w:rsidR="00AC683C" w:rsidRDefault="00FD2153">
      <w:pPr>
        <w:pStyle w:val="Pargrafdellista"/>
        <w:numPr>
          <w:ilvl w:val="1"/>
          <w:numId w:val="2"/>
        </w:numPr>
        <w:tabs>
          <w:tab w:val="left" w:pos="952"/>
          <w:tab w:val="left" w:pos="954"/>
        </w:tabs>
        <w:spacing w:before="179"/>
        <w:ind w:hanging="362"/>
      </w:pPr>
      <w:r>
        <w:t>How are relevant processes and procedures documented and</w:t>
      </w:r>
      <w:r>
        <w:rPr>
          <w:spacing w:val="-9"/>
        </w:rPr>
        <w:t xml:space="preserve"> </w:t>
      </w:r>
      <w:r>
        <w:t>managed?</w:t>
      </w:r>
    </w:p>
    <w:p w:rsidR="00AC683C" w:rsidRDefault="00FD2153">
      <w:pPr>
        <w:pStyle w:val="Pargrafdellista"/>
        <w:numPr>
          <w:ilvl w:val="1"/>
          <w:numId w:val="2"/>
        </w:numPr>
        <w:tabs>
          <w:tab w:val="left" w:pos="952"/>
          <w:tab w:val="left" w:pos="953"/>
        </w:tabs>
        <w:spacing w:before="1"/>
        <w:ind w:left="952" w:right="527"/>
      </w:pPr>
      <w:r>
        <w:t>Does the repository have a clear understanding of all storage locations and how they are managed?</w:t>
      </w:r>
    </w:p>
    <w:p w:rsidR="00AC683C" w:rsidRDefault="00FD2153">
      <w:pPr>
        <w:pStyle w:val="Pargrafdellista"/>
        <w:numPr>
          <w:ilvl w:val="1"/>
          <w:numId w:val="2"/>
        </w:numPr>
        <w:tabs>
          <w:tab w:val="left" w:pos="952"/>
          <w:tab w:val="left" w:pos="953"/>
        </w:tabs>
        <w:spacing w:before="1" w:line="252" w:lineRule="exact"/>
        <w:ind w:left="952"/>
      </w:pPr>
      <w:r>
        <w:t>Doe</w:t>
      </w:r>
      <w:r>
        <w:t>s the repository have a strategy for multiple copies? If so, what is</w:t>
      </w:r>
      <w:r>
        <w:rPr>
          <w:spacing w:val="-10"/>
        </w:rPr>
        <w:t xml:space="preserve"> </w:t>
      </w:r>
      <w:r>
        <w:t>it?</w:t>
      </w:r>
    </w:p>
    <w:p w:rsidR="00AC683C" w:rsidRDefault="00FD2153">
      <w:pPr>
        <w:pStyle w:val="Pargrafdellista"/>
        <w:numPr>
          <w:ilvl w:val="1"/>
          <w:numId w:val="2"/>
        </w:numPr>
        <w:tabs>
          <w:tab w:val="left" w:pos="952"/>
          <w:tab w:val="left" w:pos="953"/>
        </w:tabs>
        <w:spacing w:line="252" w:lineRule="exact"/>
        <w:ind w:left="952"/>
      </w:pPr>
      <w:r>
        <w:t>Are risk management techniques used to inform the</w:t>
      </w:r>
      <w:r>
        <w:rPr>
          <w:spacing w:val="-6"/>
        </w:rPr>
        <w:t xml:space="preserve"> </w:t>
      </w:r>
      <w:r>
        <w:t>strategy?</w:t>
      </w:r>
    </w:p>
    <w:p w:rsidR="00AC683C" w:rsidRDefault="00FD2153">
      <w:pPr>
        <w:pStyle w:val="Pargrafdellista"/>
        <w:numPr>
          <w:ilvl w:val="1"/>
          <w:numId w:val="2"/>
        </w:numPr>
        <w:tabs>
          <w:tab w:val="left" w:pos="952"/>
          <w:tab w:val="left" w:pos="953"/>
        </w:tabs>
        <w:spacing w:line="252" w:lineRule="exact"/>
        <w:ind w:left="952"/>
      </w:pPr>
      <w:r>
        <w:t>What checks are in place to ensure consistency across archival</w:t>
      </w:r>
      <w:r>
        <w:rPr>
          <w:spacing w:val="-17"/>
        </w:rPr>
        <w:t xml:space="preserve"> </w:t>
      </w:r>
      <w:r>
        <w:t>copies?</w:t>
      </w:r>
    </w:p>
    <w:p w:rsidR="00AC683C" w:rsidRDefault="00FD2153">
      <w:pPr>
        <w:pStyle w:val="Pargrafdellista"/>
        <w:numPr>
          <w:ilvl w:val="1"/>
          <w:numId w:val="2"/>
        </w:numPr>
        <w:tabs>
          <w:tab w:val="left" w:pos="952"/>
          <w:tab w:val="left" w:pos="953"/>
        </w:tabs>
        <w:spacing w:before="1"/>
        <w:ind w:left="952"/>
      </w:pPr>
      <w:r>
        <w:t>How is deterioration of storage media handled and</w:t>
      </w:r>
      <w:r>
        <w:rPr>
          <w:spacing w:val="-9"/>
        </w:rPr>
        <w:t xml:space="preserve"> </w:t>
      </w:r>
      <w:r>
        <w:t>mo</w:t>
      </w:r>
      <w:r>
        <w:t>nitored?</w:t>
      </w:r>
    </w:p>
    <w:p w:rsidR="00AC683C" w:rsidRDefault="00FD2153">
      <w:pPr>
        <w:pStyle w:val="Textindependent"/>
        <w:spacing w:before="179"/>
        <w:ind w:right="932"/>
      </w:pPr>
      <w:r>
        <w:t>Details on the technical implementation of storage should be covered in R15 (Technical infrastructure), and specific arrangements for physical and logical security in R16 (Security).</w:t>
      </w:r>
    </w:p>
    <w:p w:rsidR="00AC683C" w:rsidRDefault="000A2A0E">
      <w:pPr>
        <w:pStyle w:val="Ttol2"/>
        <w:spacing w:before="179"/>
      </w:pPr>
      <w:r>
        <w:rPr>
          <w:noProof/>
          <w:lang w:val="es-ES" w:eastAsia="es-ES" w:bidi="ar-SA"/>
        </w:rPr>
        <mc:AlternateContent>
          <mc:Choice Requires="wps">
            <w:drawing>
              <wp:anchor distT="0" distB="0" distL="0" distR="0" simplePos="0" relativeHeight="251684864" behindDoc="1" locked="0" layoutInCell="1" allowOverlap="1">
                <wp:simplePos x="0" y="0"/>
                <wp:positionH relativeFrom="page">
                  <wp:posOffset>647700</wp:posOffset>
                </wp:positionH>
                <wp:positionV relativeFrom="paragraph">
                  <wp:posOffset>370840</wp:posOffset>
                </wp:positionV>
                <wp:extent cx="6262370" cy="1478280"/>
                <wp:effectExtent l="0" t="0" r="0" b="0"/>
                <wp:wrapTopAndBottom/>
                <wp:docPr id="1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2370" cy="1478280"/>
                        </a:xfrm>
                        <a:prstGeom prst="rect">
                          <a:avLst/>
                        </a:prstGeom>
                        <a:noFill/>
                        <a:ln w="6096">
                          <a:solidFill>
                            <a:srgbClr val="2E75B5"/>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AC683C" w:rsidRDefault="00FD2153">
                            <w:pPr>
                              <w:pStyle w:val="Textindependent"/>
                              <w:spacing w:before="17"/>
                              <w:ind w:left="107" w:right="222"/>
                            </w:pPr>
                            <w:r>
                              <w:rPr>
                                <w:color w:val="2E75B5"/>
                              </w:rPr>
                              <w:t>The reviewer is looking to understand each of the storage locations that support curation processes, how data are appropriately managed in each environment, and that processes are in place to monitor and manage change to storage documentation. Are procedur</w:t>
                            </w:r>
                            <w:r>
                              <w:rPr>
                                <w:color w:val="2E75B5"/>
                              </w:rPr>
                              <w:t>es documented and standardized in such a way that different data managers, while performing the same tasks separately, will arrive at substantially the same outcome? Examples of evidence include data flow diagrams covering deposit, curation, and access loc</w:t>
                            </w:r>
                            <w:r>
                              <w:rPr>
                                <w:color w:val="2E75B5"/>
                              </w:rPr>
                              <w:t>ations (plus any access restrictions). For archival storage, evidence might comprise of descriptions of the multisite arrangements (on site, near site, off site), the mix of storage media, and any redundancy (including integrity through checksums).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60" type="#_x0000_t202" style="position:absolute;left:0;text-align:left;margin-left:51pt;margin-top:29.2pt;width:493.1pt;height:116.4pt;z-index:-251631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" filled="f" strokecolor="#2e75b5" strokeweight=".48pt">
                <v:textbox inset="0,0,0,0">
                  <w:txbxContent>
                    <w:p w:rsidR="00AC683C" w:rsidRDefault="00FD2153">
                      <w:pPr>
                        <w:pStyle w:val="Textindependent"/>
                        <w:spacing w:before="17"/>
                        <w:ind w:left="107" w:right="222"/>
                      </w:pPr>
                      <w:r>
                        <w:rPr>
                          <w:color w:val="2E75B5"/>
                        </w:rPr>
                        <w:t>The reviewer is looking to understand each of the storage locations that support curation processes, how data are appropriately managed in each environment, and that processes are in place to monitor and manage change to storage documentation. Are procedur</w:t>
                      </w:r>
                      <w:r>
                        <w:rPr>
                          <w:color w:val="2E75B5"/>
                        </w:rPr>
                        <w:t>es documented and standardized in such a way that different data managers, while performing the same tasks separately, will arrive at substantially the same outcome? Examples of evidence include data flow diagrams covering deposit, curation, and access loc</w:t>
                      </w:r>
                      <w:r>
                        <w:rPr>
                          <w:color w:val="2E75B5"/>
                        </w:rPr>
                        <w:t>ations (plus any access restrictions). For archival storage, evidence might comprise of descriptions of the multisite arrangements (on site, near site, off site), the mix of storage media, and any redundancy (including integrity through checksums).</w:t>
                      </w:r>
                    </w:p>
                  </w:txbxContent>
                </v:textbox>
                <w10:wrap type="topAndBottom" anchorx="page"/>
              </v:shape>
            </w:pict>
          </mc:Fallback>
        </mc:AlternateContent>
      </w:r>
      <w:bookmarkStart w:id="59" w:name="Extended_Guidance_R9."/>
      <w:bookmarkEnd w:id="59"/>
      <w:r w:rsidR="00FD2153">
        <w:t>Extende</w:t>
      </w:r>
      <w:r w:rsidR="00FD2153">
        <w:t>d Guidance R9.</w:t>
      </w:r>
    </w:p>
    <w:p w:rsidR="00AC683C" w:rsidRDefault="00AC683C">
      <w:pPr>
        <w:sectPr w:rsidR="00AC683C">
          <w:pgSz w:w="11910" w:h="16840"/>
          <w:pgMar w:top="1020" w:right="900" w:bottom="1060" w:left="900" w:header="724" w:footer="860" w:gutter="0"/>
          <w:cols w:space="720"/>
        </w:sectPr>
      </w:pPr>
    </w:p>
    <w:p w:rsidR="00AC683C" w:rsidRDefault="00FD2153">
      <w:pPr>
        <w:pStyle w:val="Pargrafdellista"/>
        <w:numPr>
          <w:ilvl w:val="0"/>
          <w:numId w:val="2"/>
        </w:numPr>
        <w:tabs>
          <w:tab w:val="left" w:pos="666"/>
        </w:tabs>
        <w:spacing w:before="91"/>
        <w:ind w:left="665" w:hanging="434"/>
        <w:rPr>
          <w:b/>
          <w:sz w:val="26"/>
        </w:rPr>
      </w:pPr>
      <w:bookmarkStart w:id="60" w:name="_bookmark26"/>
      <w:bookmarkStart w:id="61" w:name="10._Preservation_plan"/>
      <w:bookmarkStart w:id="62" w:name="_bookmark25"/>
      <w:bookmarkEnd w:id="60"/>
      <w:bookmarkEnd w:id="61"/>
      <w:bookmarkEnd w:id="62"/>
      <w:r>
        <w:rPr>
          <w:b/>
          <w:sz w:val="26"/>
        </w:rPr>
        <w:lastRenderedPageBreak/>
        <w:t>Preservation</w:t>
      </w:r>
      <w:r>
        <w:rPr>
          <w:b/>
          <w:spacing w:val="-2"/>
          <w:sz w:val="26"/>
        </w:rPr>
        <w:t xml:space="preserve"> </w:t>
      </w:r>
      <w:r>
        <w:rPr>
          <w:b/>
          <w:sz w:val="26"/>
        </w:rPr>
        <w:t>plan</w:t>
      </w:r>
    </w:p>
    <w:p w:rsidR="00AC683C" w:rsidRDefault="00FD2153">
      <w:pPr>
        <w:pStyle w:val="Ttol3"/>
        <w:ind w:left="233" w:right="791" w:hanging="1"/>
      </w:pPr>
      <w:r>
        <w:rPr>
          <w:color w:val="ED7D31"/>
        </w:rPr>
        <w:t>R10. The repository assumes responsibility for long-term preservation and manages this function in a planned and documented way.</w:t>
      </w:r>
    </w:p>
    <w:p w:rsidR="00AC683C" w:rsidRDefault="00FD2153">
      <w:pPr>
        <w:pStyle w:val="Textindependent"/>
        <w:spacing w:before="70"/>
        <w:ind w:left="233"/>
      </w:pPr>
      <w:r>
        <w:t>Compliance Level:</w:t>
      </w:r>
    </w:p>
    <w:p w:rsidR="00AC683C" w:rsidRDefault="00FD2153">
      <w:pPr>
        <w:pStyle w:val="Ttol3"/>
        <w:spacing w:before="177"/>
        <w:ind w:left="233"/>
        <w:rPr>
          <w:rFonts w:ascii="Arial"/>
        </w:rPr>
      </w:pPr>
      <w:r>
        <w:rPr>
          <w:rFonts w:ascii="Arial"/>
          <w:color w:val="538135"/>
        </w:rPr>
        <w:t>Response</w:t>
      </w:r>
    </w:p>
    <w:p w:rsidR="00AC683C" w:rsidRDefault="00FD2153">
      <w:pPr>
        <w:pStyle w:val="Ttol2"/>
      </w:pPr>
      <w:r>
        <w:t>Guidance:</w:t>
      </w:r>
    </w:p>
    <w:p w:rsidR="00AC683C" w:rsidRDefault="00FD2153">
      <w:pPr>
        <w:pStyle w:val="Textindependent"/>
        <w:spacing w:before="122"/>
        <w:ind w:right="478"/>
      </w:pPr>
      <w:r>
        <w:t>The repository, data depositors, and De</w:t>
      </w:r>
      <w:r>
        <w:t>signated Community need to understand the level of responsibility undertaken for each deposited item in the repository. The repository must have the rights to undertake these responsibilities. Procedures must be documented and their completion assured.</w:t>
      </w:r>
    </w:p>
    <w:p w:rsidR="00AC683C" w:rsidRDefault="00FD2153">
      <w:pPr>
        <w:pStyle w:val="Textindependent"/>
        <w:spacing w:before="179"/>
      </w:pPr>
      <w:r>
        <w:t>For</w:t>
      </w:r>
      <w:r>
        <w:t xml:space="preserve"> this Requirement, responses should include evidence related to the following questions:</w:t>
      </w:r>
    </w:p>
    <w:p w:rsidR="00AC683C" w:rsidRDefault="00FD2153">
      <w:pPr>
        <w:pStyle w:val="Pargrafdellista"/>
        <w:numPr>
          <w:ilvl w:val="1"/>
          <w:numId w:val="2"/>
        </w:numPr>
        <w:tabs>
          <w:tab w:val="left" w:pos="952"/>
          <w:tab w:val="left" w:pos="954"/>
        </w:tabs>
        <w:spacing w:before="181" w:line="253" w:lineRule="exact"/>
        <w:ind w:hanging="362"/>
      </w:pPr>
      <w:r>
        <w:t>Does the repository have a documented approach to</w:t>
      </w:r>
      <w:r>
        <w:rPr>
          <w:spacing w:val="-12"/>
        </w:rPr>
        <w:t xml:space="preserve"> </w:t>
      </w:r>
      <w:r>
        <w:t>preservation?</w:t>
      </w:r>
    </w:p>
    <w:p w:rsidR="00AC683C" w:rsidRDefault="00FD2153">
      <w:pPr>
        <w:pStyle w:val="Pargrafdellista"/>
        <w:numPr>
          <w:ilvl w:val="1"/>
          <w:numId w:val="2"/>
        </w:numPr>
        <w:tabs>
          <w:tab w:val="left" w:pos="952"/>
          <w:tab w:val="left" w:pos="953"/>
        </w:tabs>
        <w:ind w:left="952" w:right="894"/>
      </w:pPr>
      <w:r>
        <w:t>Is the level of responsibility for the preservation of each item understood? How is this defined?</w:t>
      </w:r>
    </w:p>
    <w:p w:rsidR="00AC683C" w:rsidRDefault="00FD2153">
      <w:pPr>
        <w:pStyle w:val="Pargrafdellista"/>
        <w:numPr>
          <w:ilvl w:val="1"/>
          <w:numId w:val="2"/>
        </w:numPr>
        <w:tabs>
          <w:tab w:val="left" w:pos="952"/>
          <w:tab w:val="left" w:pos="953"/>
        </w:tabs>
        <w:ind w:left="952" w:right="1239"/>
      </w:pPr>
      <w:r>
        <w:t>Are plans related to future migrations or similar measures to address the threat of obsolescence in</w:t>
      </w:r>
      <w:r>
        <w:rPr>
          <w:spacing w:val="-1"/>
        </w:rPr>
        <w:t xml:space="preserve"> </w:t>
      </w:r>
      <w:r>
        <w:t>place?</w:t>
      </w:r>
    </w:p>
    <w:p w:rsidR="00AC683C" w:rsidRDefault="00FD2153">
      <w:pPr>
        <w:pStyle w:val="Pargrafdellista"/>
        <w:numPr>
          <w:ilvl w:val="1"/>
          <w:numId w:val="2"/>
        </w:numPr>
        <w:tabs>
          <w:tab w:val="left" w:pos="952"/>
          <w:tab w:val="left" w:pos="953"/>
        </w:tabs>
        <w:spacing w:before="1"/>
        <w:ind w:left="952" w:right="657"/>
      </w:pPr>
      <w:r>
        <w:t>Does the contract between depositor and repository provide for all actions necessary to meet the</w:t>
      </w:r>
      <w:r>
        <w:rPr>
          <w:spacing w:val="-4"/>
        </w:rPr>
        <w:t xml:space="preserve"> </w:t>
      </w:r>
      <w:r>
        <w:t>responsibilities?</w:t>
      </w:r>
    </w:p>
    <w:p w:rsidR="00AC683C" w:rsidRDefault="00FD2153">
      <w:pPr>
        <w:pStyle w:val="Pargrafdellista"/>
        <w:numPr>
          <w:ilvl w:val="1"/>
          <w:numId w:val="2"/>
        </w:numPr>
        <w:tabs>
          <w:tab w:val="left" w:pos="952"/>
          <w:tab w:val="left" w:pos="953"/>
        </w:tabs>
        <w:spacing w:line="252" w:lineRule="exact"/>
        <w:ind w:left="952"/>
      </w:pPr>
      <w:r>
        <w:t>Is the transfer of custody and res</w:t>
      </w:r>
      <w:r>
        <w:t>ponsibility handover clear to the depositor and</w:t>
      </w:r>
      <w:r>
        <w:rPr>
          <w:spacing w:val="-32"/>
        </w:rPr>
        <w:t xml:space="preserve"> </w:t>
      </w:r>
      <w:r>
        <w:t>repository?</w:t>
      </w:r>
    </w:p>
    <w:p w:rsidR="00AC683C" w:rsidRDefault="00FD2153">
      <w:pPr>
        <w:pStyle w:val="Pargrafdellista"/>
        <w:numPr>
          <w:ilvl w:val="1"/>
          <w:numId w:val="2"/>
        </w:numPr>
        <w:tabs>
          <w:tab w:val="left" w:pos="952"/>
          <w:tab w:val="left" w:pos="953"/>
        </w:tabs>
        <w:ind w:left="952" w:right="834"/>
      </w:pPr>
      <w:r>
        <w:t>Does the repository have the rights to copy, transform, and store the items, as well as provide access to</w:t>
      </w:r>
      <w:r>
        <w:rPr>
          <w:spacing w:val="-5"/>
        </w:rPr>
        <w:t xml:space="preserve"> </w:t>
      </w:r>
      <w:r>
        <w:t>them?</w:t>
      </w:r>
    </w:p>
    <w:p w:rsidR="00AC683C" w:rsidRDefault="00FD2153">
      <w:pPr>
        <w:pStyle w:val="Pargrafdellista"/>
        <w:numPr>
          <w:ilvl w:val="1"/>
          <w:numId w:val="2"/>
        </w:numPr>
        <w:tabs>
          <w:tab w:val="left" w:pos="952"/>
          <w:tab w:val="left" w:pos="953"/>
        </w:tabs>
        <w:ind w:left="952" w:right="342"/>
      </w:pPr>
      <w:r>
        <w:t>Are actions relevant to preservation specified in documentation, including custody t</w:t>
      </w:r>
      <w:r>
        <w:t>ransfer, submission information standards, and archival information</w:t>
      </w:r>
      <w:r>
        <w:rPr>
          <w:spacing w:val="-7"/>
        </w:rPr>
        <w:t xml:space="preserve"> </w:t>
      </w:r>
      <w:r>
        <w:t>standards?</w:t>
      </w:r>
    </w:p>
    <w:p w:rsidR="00AC683C" w:rsidRDefault="00FD2153">
      <w:pPr>
        <w:pStyle w:val="Pargrafdellista"/>
        <w:numPr>
          <w:ilvl w:val="1"/>
          <w:numId w:val="2"/>
        </w:numPr>
        <w:tabs>
          <w:tab w:val="left" w:pos="952"/>
          <w:tab w:val="left" w:pos="953"/>
        </w:tabs>
        <w:spacing w:before="1"/>
        <w:ind w:left="952"/>
      </w:pPr>
      <w:r>
        <w:t>Are there measures to ensure these actions are</w:t>
      </w:r>
      <w:r>
        <w:rPr>
          <w:spacing w:val="-14"/>
        </w:rPr>
        <w:t xml:space="preserve"> </w:t>
      </w:r>
      <w:r>
        <w:t>taken?</w:t>
      </w:r>
    </w:p>
    <w:p w:rsidR="00AC683C" w:rsidRDefault="00AC683C">
      <w:pPr>
        <w:pStyle w:val="Textindependent"/>
        <w:spacing w:before="10"/>
        <w:ind w:left="0"/>
        <w:rPr>
          <w:sz w:val="19"/>
        </w:rPr>
      </w:pPr>
    </w:p>
    <w:p w:rsidR="00AC683C" w:rsidRDefault="00FD2153">
      <w:pPr>
        <w:pStyle w:val="Textindependent"/>
        <w:ind w:right="306"/>
      </w:pPr>
      <w:r>
        <w:t>Rights concerning data access and use, and the monitoring of their compliance should be covered under R2 (Licenses).</w:t>
      </w:r>
    </w:p>
    <w:p w:rsidR="00AC683C" w:rsidRDefault="000A2A0E">
      <w:pPr>
        <w:pStyle w:val="Ttol2"/>
        <w:spacing w:before="119"/>
      </w:pPr>
      <w:r>
        <w:rPr>
          <w:noProof/>
          <w:lang w:val="es-ES" w:eastAsia="es-ES" w:bidi="ar-SA"/>
        </w:rPr>
        <mc:AlternateContent>
          <mc:Choice Requires="wps">
            <w:drawing>
              <wp:anchor distT="0" distB="0" distL="0" distR="0" simplePos="0" relativeHeight="251685888" behindDoc="1" locked="0" layoutInCell="1" allowOverlap="1">
                <wp:simplePos x="0" y="0"/>
                <wp:positionH relativeFrom="page">
                  <wp:posOffset>647700</wp:posOffset>
                </wp:positionH>
                <wp:positionV relativeFrom="paragraph">
                  <wp:posOffset>332740</wp:posOffset>
                </wp:positionV>
                <wp:extent cx="6262370" cy="2944495"/>
                <wp:effectExtent l="0" t="0" r="0" b="0"/>
                <wp:wrapTopAndBottom/>
                <wp:docPr id="1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2370" cy="2944495"/>
                        </a:xfrm>
                        <a:prstGeom prst="rect">
                          <a:avLst/>
                        </a:prstGeom>
                        <a:noFill/>
                        <a:ln w="6096">
                          <a:solidFill>
                            <a:srgbClr val="2E75B5"/>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AC683C" w:rsidRDefault="00FD2153">
                            <w:pPr>
                              <w:pStyle w:val="Textindependent"/>
                              <w:spacing w:before="17"/>
                              <w:ind w:left="107" w:right="137"/>
                            </w:pPr>
                            <w:r>
                              <w:rPr>
                                <w:color w:val="2E75B5"/>
                              </w:rPr>
                              <w:t>The term preservation plan refers to having a documented approach for defining and implementing preservation actions. The Requirements do not define or differentiate between a preservation policy, plan, strategy, or action plan.</w:t>
                            </w:r>
                          </w:p>
                          <w:p w:rsidR="00AC683C" w:rsidRDefault="00FD2153">
                            <w:pPr>
                              <w:pStyle w:val="Textindependent"/>
                              <w:spacing w:before="179"/>
                              <w:ind w:left="107" w:right="345"/>
                            </w:pPr>
                            <w:r>
                              <w:rPr>
                                <w:color w:val="2E75B5"/>
                              </w:rPr>
                              <w:t xml:space="preserve">The reviewer will be looking for clear, managed documentation to ensure: (1) an organized approach to long-term preservation, (2) continued access for data types despite format changes, and (3) there is sufficient documentation to support usability by the </w:t>
                            </w:r>
                            <w:r>
                              <w:rPr>
                                <w:color w:val="2E75B5"/>
                              </w:rPr>
                              <w:t xml:space="preserve">Designated Community. The response should address whether the repository has defined preservation levels and, if so, how these are applied. The preservation plan should be managed to ensure that changes to data technology and user requirements are handled </w:t>
                            </w:r>
                            <w:r>
                              <w:rPr>
                                <w:color w:val="2E75B5"/>
                              </w:rPr>
                              <w:t>in a stable and timely manner.</w:t>
                            </w:r>
                          </w:p>
                          <w:p w:rsidR="00AC683C" w:rsidRDefault="00FD2153">
                            <w:pPr>
                              <w:pStyle w:val="Textindependent"/>
                              <w:spacing w:before="181"/>
                              <w:ind w:left="107" w:right="89"/>
                            </w:pPr>
                            <w:r>
                              <w:rPr>
                                <w:color w:val="2E75B5"/>
                              </w:rPr>
                              <w:t>If preservation levels differ between classes or collections of items, the applicant should explain the differences in preservation approach, as well as the criteria applied to determine the preservation level. This may be re</w:t>
                            </w:r>
                            <w:r>
                              <w:rPr>
                                <w:color w:val="2E75B5"/>
                              </w:rPr>
                              <w:t xml:space="preserve">levant if, for example, the file size of an object or the sensitivity of the data it contains determines the number of redundant copies made; or, only items deposited in preferred formats are converted to standard preservation formats and will be migrated </w:t>
                            </w:r>
                            <w:r>
                              <w:rPr>
                                <w:color w:val="2E75B5"/>
                              </w:rPr>
                              <w:t>in the future.</w:t>
                            </w:r>
                          </w:p>
                          <w:p w:rsidR="00AC683C" w:rsidRDefault="00FD2153">
                            <w:pPr>
                              <w:pStyle w:val="Textindependent"/>
                              <w:spacing w:before="180"/>
                              <w:ind w:left="107" w:right="88"/>
                            </w:pPr>
                            <w:r>
                              <w:rPr>
                                <w:color w:val="2E75B5"/>
                              </w:rPr>
                              <w:t>If the applicant does not link to a documented preservation approach, they can be only at a maximum of Compliance Level 3 and they should have one in place by the time of the next review.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61" type="#_x0000_t202" style="position:absolute;left:0;text-align:left;margin-left:51pt;margin-top:26.2pt;width:493.1pt;height:231.85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" filled="f" strokecolor="#2e75b5" strokeweight=".48pt">
                <v:textbox inset="0,0,0,0">
                  <w:txbxContent>
                    <w:p w:rsidR="00AC683C" w:rsidRDefault="00FD2153">
                      <w:pPr>
                        <w:pStyle w:val="Textindependent"/>
                        <w:spacing w:before="17"/>
                        <w:ind w:left="107" w:right="137"/>
                      </w:pPr>
                      <w:r>
                        <w:rPr>
                          <w:color w:val="2E75B5"/>
                        </w:rPr>
                        <w:t>The term preservation plan refers to having a documented approach for defining and implementing preservation actions. The Requirements do not define or differentiate between a preservation policy, plan, strategy, or action plan.</w:t>
                      </w:r>
                    </w:p>
                    <w:p w:rsidR="00AC683C" w:rsidRDefault="00FD2153">
                      <w:pPr>
                        <w:pStyle w:val="Textindependent"/>
                        <w:spacing w:before="179"/>
                        <w:ind w:left="107" w:right="345"/>
                      </w:pPr>
                      <w:r>
                        <w:rPr>
                          <w:color w:val="2E75B5"/>
                        </w:rPr>
                        <w:t xml:space="preserve">The reviewer will be looking for clear, managed documentation to ensure: (1) an organized approach to long-term preservation, (2) continued access for data types despite format changes, and (3) there is sufficient documentation to support usability by the </w:t>
                      </w:r>
                      <w:r>
                        <w:rPr>
                          <w:color w:val="2E75B5"/>
                        </w:rPr>
                        <w:t xml:space="preserve">Designated Community. The response should address whether the repository has defined preservation levels and, if so, how these are applied. The preservation plan should be managed to ensure that changes to data technology and user requirements are handled </w:t>
                      </w:r>
                      <w:r>
                        <w:rPr>
                          <w:color w:val="2E75B5"/>
                        </w:rPr>
                        <w:t>in a stable and timely manner.</w:t>
                      </w:r>
                    </w:p>
                    <w:p w:rsidR="00AC683C" w:rsidRDefault="00FD2153">
                      <w:pPr>
                        <w:pStyle w:val="Textindependent"/>
                        <w:spacing w:before="181"/>
                        <w:ind w:left="107" w:right="89"/>
                      </w:pPr>
                      <w:r>
                        <w:rPr>
                          <w:color w:val="2E75B5"/>
                        </w:rPr>
                        <w:t>If preservation levels differ between classes or collections of items, the applicant should explain the differences in preservation approach, as well as the criteria applied to determine the preservation level. This may be re</w:t>
                      </w:r>
                      <w:r>
                        <w:rPr>
                          <w:color w:val="2E75B5"/>
                        </w:rPr>
                        <w:t xml:space="preserve">levant if, for example, the file size of an object or the sensitivity of the data it contains determines the number of redundant copies made; or, only items deposited in preferred formats are converted to standard preservation formats and will be migrated </w:t>
                      </w:r>
                      <w:r>
                        <w:rPr>
                          <w:color w:val="2E75B5"/>
                        </w:rPr>
                        <w:t>in the future.</w:t>
                      </w:r>
                    </w:p>
                    <w:p w:rsidR="00AC683C" w:rsidRDefault="00FD2153">
                      <w:pPr>
                        <w:pStyle w:val="Textindependent"/>
                        <w:spacing w:before="180"/>
                        <w:ind w:left="107" w:right="88"/>
                      </w:pPr>
                      <w:r>
                        <w:rPr>
                          <w:color w:val="2E75B5"/>
                        </w:rPr>
                        <w:t>If the applicant does not link to a documented preservation approach, they can be only at a maximum of Compliance Level 3 and they should have one in place by the time of the next review.</w:t>
                      </w:r>
                    </w:p>
                  </w:txbxContent>
                </v:textbox>
                <w10:wrap type="topAndBottom" anchorx="page"/>
              </v:shape>
            </w:pict>
          </mc:Fallback>
        </mc:AlternateContent>
      </w:r>
      <w:bookmarkStart w:id="63" w:name="Extended_Guidance_R10."/>
      <w:bookmarkEnd w:id="63"/>
      <w:r w:rsidR="00FD2153">
        <w:t>Extended Guidance R10.</w:t>
      </w:r>
    </w:p>
    <w:p w:rsidR="00AC683C" w:rsidRDefault="00AC683C">
      <w:pPr>
        <w:sectPr w:rsidR="00AC683C">
          <w:pgSz w:w="11910" w:h="16840"/>
          <w:pgMar w:top="1020" w:right="900" w:bottom="1060" w:left="900" w:header="724" w:footer="860" w:gutter="0"/>
          <w:cols w:space="720"/>
        </w:sectPr>
      </w:pPr>
    </w:p>
    <w:p w:rsidR="00AC683C" w:rsidRDefault="00FD2153">
      <w:pPr>
        <w:pStyle w:val="Pargrafdellista"/>
        <w:numPr>
          <w:ilvl w:val="0"/>
          <w:numId w:val="2"/>
        </w:numPr>
        <w:tabs>
          <w:tab w:val="left" w:pos="665"/>
        </w:tabs>
        <w:spacing w:before="91"/>
        <w:ind w:left="664" w:hanging="433"/>
        <w:rPr>
          <w:b/>
          <w:sz w:val="26"/>
        </w:rPr>
      </w:pPr>
      <w:bookmarkStart w:id="64" w:name="11._Data_quality"/>
      <w:bookmarkEnd w:id="64"/>
      <w:r>
        <w:rPr>
          <w:b/>
          <w:sz w:val="26"/>
        </w:rPr>
        <w:lastRenderedPageBreak/>
        <w:t>Data</w:t>
      </w:r>
      <w:r>
        <w:rPr>
          <w:b/>
          <w:spacing w:val="-1"/>
          <w:sz w:val="26"/>
        </w:rPr>
        <w:t xml:space="preserve"> </w:t>
      </w:r>
      <w:r>
        <w:rPr>
          <w:b/>
          <w:sz w:val="26"/>
        </w:rPr>
        <w:t>quality</w:t>
      </w:r>
    </w:p>
    <w:p w:rsidR="00AC683C" w:rsidRDefault="00FD2153">
      <w:pPr>
        <w:pStyle w:val="Ttol3"/>
        <w:ind w:right="650"/>
      </w:pPr>
      <w:r>
        <w:rPr>
          <w:color w:val="ED7D31"/>
        </w:rPr>
        <w:t>R11. The repository has appropriate expertise to address technical data and metadata quality and ensures that sufficient information is available for end users to make quality- related evaluations.</w:t>
      </w:r>
    </w:p>
    <w:p w:rsidR="00AC683C" w:rsidRDefault="00FD2153">
      <w:pPr>
        <w:pStyle w:val="Textindependent"/>
        <w:spacing w:before="69"/>
      </w:pPr>
      <w:r>
        <w:t>Compliance Level:</w:t>
      </w:r>
    </w:p>
    <w:p w:rsidR="00AC683C" w:rsidRDefault="00FD2153">
      <w:pPr>
        <w:pStyle w:val="Ttol3"/>
        <w:spacing w:before="179"/>
        <w:rPr>
          <w:rFonts w:ascii="Arial"/>
        </w:rPr>
      </w:pPr>
      <w:r>
        <w:rPr>
          <w:rFonts w:ascii="Arial"/>
          <w:color w:val="538135"/>
        </w:rPr>
        <w:t>Response</w:t>
      </w:r>
    </w:p>
    <w:p w:rsidR="00AC683C" w:rsidRDefault="00FD2153">
      <w:pPr>
        <w:pStyle w:val="Ttol2"/>
        <w:spacing w:before="179"/>
      </w:pPr>
      <w:r>
        <w:t>Guidance:</w:t>
      </w:r>
    </w:p>
    <w:p w:rsidR="00AC683C" w:rsidRDefault="00FD2153">
      <w:pPr>
        <w:pStyle w:val="Textindependent"/>
        <w:spacing w:before="122"/>
        <w:ind w:right="527"/>
      </w:pPr>
      <w:r>
        <w:t>Repositories must en</w:t>
      </w:r>
      <w:r>
        <w:t>sure there is sufficient information about the data for the Designated Community to assess the quality of the data. Quality assessment becomes increasingly relevant when the Designated Community is multidisciplinary, where users may not have the personal e</w:t>
      </w:r>
      <w:r>
        <w:t>xperience to make an evaluation of quality from the data alone. Repositories must be able to evaluate completeness and quality of the data and metadata.</w:t>
      </w:r>
    </w:p>
    <w:p w:rsidR="00AC683C" w:rsidRDefault="00FD2153">
      <w:pPr>
        <w:pStyle w:val="Textindependent"/>
        <w:spacing w:before="180"/>
        <w:ind w:right="356"/>
      </w:pPr>
      <w:r>
        <w:t>Data, or associated metadata, may have quality issues relevant to their research value, but this does n</w:t>
      </w:r>
      <w:r>
        <w:t>ot preclude their use if a user can make a well-informed decision on their suitability through provided documentation.</w:t>
      </w:r>
    </w:p>
    <w:p w:rsidR="00AC683C" w:rsidRDefault="00FD2153">
      <w:pPr>
        <w:pStyle w:val="Textindependent"/>
        <w:spacing w:before="180"/>
        <w:ind w:left="233"/>
      </w:pPr>
      <w:r>
        <w:t>For this Requirement, please describe:</w:t>
      </w:r>
    </w:p>
    <w:p w:rsidR="00AC683C" w:rsidRDefault="00FD2153">
      <w:pPr>
        <w:pStyle w:val="Pargrafdellista"/>
        <w:numPr>
          <w:ilvl w:val="1"/>
          <w:numId w:val="2"/>
        </w:numPr>
        <w:tabs>
          <w:tab w:val="left" w:pos="953"/>
          <w:tab w:val="left" w:pos="954"/>
        </w:tabs>
        <w:spacing w:before="181" w:line="253" w:lineRule="exact"/>
      </w:pPr>
      <w:r>
        <w:t>The approach to data and metadata quality taken by the</w:t>
      </w:r>
      <w:r>
        <w:rPr>
          <w:spacing w:val="-22"/>
        </w:rPr>
        <w:t xml:space="preserve"> </w:t>
      </w:r>
      <w:r>
        <w:t>repository.</w:t>
      </w:r>
    </w:p>
    <w:p w:rsidR="00AC683C" w:rsidRDefault="00FD2153">
      <w:pPr>
        <w:pStyle w:val="Pargrafdellista"/>
        <w:numPr>
          <w:ilvl w:val="1"/>
          <w:numId w:val="2"/>
        </w:numPr>
        <w:tabs>
          <w:tab w:val="left" w:pos="952"/>
          <w:tab w:val="left" w:pos="953"/>
        </w:tabs>
        <w:ind w:left="952" w:right="379"/>
      </w:pPr>
      <w:r>
        <w:t>Does the repository have qualit</w:t>
      </w:r>
      <w:r>
        <w:t>y control checks to ensure the completeness and understandability of data deposited? If so, please provide references to quality control standards and reporting mechanisms accepted by the relevant community of practice, and include details of how any issue</w:t>
      </w:r>
      <w:r>
        <w:t>s are resolved (e.g., are the data returned to the data provider for rectification, fixed by the repository, noted by quality flags in the data file, and/or included in the accompanying</w:t>
      </w:r>
      <w:r>
        <w:rPr>
          <w:spacing w:val="-5"/>
        </w:rPr>
        <w:t xml:space="preserve"> </w:t>
      </w:r>
      <w:r>
        <w:t>metadata?).</w:t>
      </w:r>
    </w:p>
    <w:p w:rsidR="00AC683C" w:rsidRDefault="00FD2153">
      <w:pPr>
        <w:pStyle w:val="Pargrafdellista"/>
        <w:numPr>
          <w:ilvl w:val="1"/>
          <w:numId w:val="2"/>
        </w:numPr>
        <w:tabs>
          <w:tab w:val="left" w:pos="952"/>
          <w:tab w:val="left" w:pos="953"/>
        </w:tabs>
        <w:spacing w:before="1" w:line="252" w:lineRule="exact"/>
        <w:ind w:left="952"/>
      </w:pPr>
      <w:r>
        <w:t>The ability of the Designated Community to comment on, and/or rate data and</w:t>
      </w:r>
      <w:r>
        <w:rPr>
          <w:spacing w:val="-32"/>
        </w:rPr>
        <w:t xml:space="preserve"> </w:t>
      </w:r>
      <w:r>
        <w:t>metadata.</w:t>
      </w:r>
    </w:p>
    <w:p w:rsidR="00AC683C" w:rsidRDefault="00FD2153">
      <w:pPr>
        <w:pStyle w:val="Pargrafdellista"/>
        <w:numPr>
          <w:ilvl w:val="1"/>
          <w:numId w:val="2"/>
        </w:numPr>
        <w:tabs>
          <w:tab w:val="left" w:pos="952"/>
          <w:tab w:val="left" w:pos="953"/>
        </w:tabs>
        <w:spacing w:line="252" w:lineRule="exact"/>
        <w:ind w:left="952"/>
      </w:pPr>
      <w:r>
        <w:t>Whether citations to related works or links to citation indices are</w:t>
      </w:r>
      <w:r>
        <w:rPr>
          <w:spacing w:val="-16"/>
        </w:rPr>
        <w:t xml:space="preserve"> </w:t>
      </w:r>
      <w:r>
        <w:t>provided.</w:t>
      </w:r>
    </w:p>
    <w:p w:rsidR="00AC683C" w:rsidRDefault="00FD2153">
      <w:pPr>
        <w:pStyle w:val="Textindependent"/>
        <w:spacing w:before="181"/>
        <w:ind w:right="270"/>
      </w:pPr>
      <w:r>
        <w:t>This Requirement refers to data quality standards and assurance during curation. Selection c</w:t>
      </w:r>
      <w:r>
        <w:t>riteria are covered in R8 (Appraisal).</w:t>
      </w:r>
    </w:p>
    <w:p w:rsidR="00AC683C" w:rsidRDefault="000A2A0E">
      <w:pPr>
        <w:pStyle w:val="Ttol2"/>
        <w:spacing w:before="176"/>
      </w:pPr>
      <w:r>
        <w:rPr>
          <w:noProof/>
          <w:lang w:val="es-ES" w:eastAsia="es-ES" w:bidi="ar-SA"/>
        </w:rPr>
        <mc:AlternateContent>
          <mc:Choice Requires="wps">
            <w:drawing>
              <wp:anchor distT="0" distB="0" distL="0" distR="0" simplePos="0" relativeHeight="251686912" behindDoc="1" locked="0" layoutInCell="1" allowOverlap="1">
                <wp:simplePos x="0" y="0"/>
                <wp:positionH relativeFrom="page">
                  <wp:posOffset>647700</wp:posOffset>
                </wp:positionH>
                <wp:positionV relativeFrom="paragraph">
                  <wp:posOffset>368935</wp:posOffset>
                </wp:positionV>
                <wp:extent cx="6262370" cy="835660"/>
                <wp:effectExtent l="0" t="0" r="0" b="0"/>
                <wp:wrapTopAndBottom/>
                <wp:docPr id="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2370" cy="835660"/>
                        </a:xfrm>
                        <a:prstGeom prst="rect">
                          <a:avLst/>
                        </a:prstGeom>
                        <a:noFill/>
                        <a:ln w="6096">
                          <a:solidFill>
                            <a:srgbClr val="2E75B5"/>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AC683C" w:rsidRDefault="00FD2153">
                            <w:pPr>
                              <w:pStyle w:val="Textindependent"/>
                              <w:spacing w:before="17"/>
                              <w:ind w:left="107" w:right="394"/>
                            </w:pPr>
                            <w:r>
                              <w:rPr>
                                <w:color w:val="2E75B5"/>
                              </w:rPr>
                              <w:t>The applicant should make clear in the response that they understand the quality levels that can be reasonably expected from depositors. Evidence should describe how quality will be assured during curation, and the</w:t>
                            </w:r>
                            <w:r>
                              <w:rPr>
                                <w:color w:val="2E75B5"/>
                              </w:rPr>
                              <w:t xml:space="preserve"> quality expectations of the Designated Community. Both the repository and its depositors are expected to document any areas in which data or metadata quality falls below the expected standard.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62" type="#_x0000_t202" style="position:absolute;left:0;text-align:left;margin-left:51pt;margin-top:29.05pt;width:493.1pt;height:65.8pt;z-index:-251629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" filled="f" strokecolor="#2e75b5" strokeweight=".48pt">
                <v:textbox inset="0,0,0,0">
                  <w:txbxContent>
                    <w:p w:rsidR="00AC683C" w:rsidRDefault="00FD2153">
                      <w:pPr>
                        <w:pStyle w:val="Textindependent"/>
                        <w:spacing w:before="17"/>
                        <w:ind w:left="107" w:right="394"/>
                      </w:pPr>
                      <w:r>
                        <w:rPr>
                          <w:color w:val="2E75B5"/>
                        </w:rPr>
                        <w:t>The applicant should make clear in the response that they understand the quality levels that can be reasonably expected from depositors. Evidence should describe how quality will be assured during curation, and the</w:t>
                      </w:r>
                      <w:r>
                        <w:rPr>
                          <w:color w:val="2E75B5"/>
                        </w:rPr>
                        <w:t xml:space="preserve"> quality expectations of the Designated Community. Both the repository and its depositors are expected to document any areas in which data or metadata quality falls below the expected standard.</w:t>
                      </w:r>
                    </w:p>
                  </w:txbxContent>
                </v:textbox>
                <w10:wrap type="topAndBottom" anchorx="page"/>
              </v:shape>
            </w:pict>
          </mc:Fallback>
        </mc:AlternateContent>
      </w:r>
      <w:bookmarkStart w:id="65" w:name="Extended_Guidance_R11."/>
      <w:bookmarkEnd w:id="65"/>
      <w:r w:rsidR="00FD2153">
        <w:t>Extended Guidance R11.</w:t>
      </w:r>
    </w:p>
    <w:p w:rsidR="00AC683C" w:rsidRDefault="00AC683C">
      <w:pPr>
        <w:sectPr w:rsidR="00AC683C">
          <w:pgSz w:w="11910" w:h="16840"/>
          <w:pgMar w:top="1020" w:right="900" w:bottom="1060" w:left="900" w:header="724" w:footer="860" w:gutter="0"/>
          <w:cols w:space="720"/>
        </w:sectPr>
      </w:pPr>
    </w:p>
    <w:p w:rsidR="00AC683C" w:rsidRDefault="00FD2153">
      <w:pPr>
        <w:pStyle w:val="Pargrafdellista"/>
        <w:numPr>
          <w:ilvl w:val="0"/>
          <w:numId w:val="2"/>
        </w:numPr>
        <w:tabs>
          <w:tab w:val="left" w:pos="666"/>
        </w:tabs>
        <w:spacing w:before="91"/>
        <w:ind w:left="665" w:hanging="434"/>
        <w:rPr>
          <w:b/>
          <w:sz w:val="26"/>
        </w:rPr>
      </w:pPr>
      <w:bookmarkStart w:id="66" w:name="12._Workflows"/>
      <w:bookmarkStart w:id="67" w:name="_bookmark27"/>
      <w:bookmarkEnd w:id="66"/>
      <w:bookmarkEnd w:id="67"/>
      <w:r>
        <w:rPr>
          <w:b/>
          <w:sz w:val="26"/>
        </w:rPr>
        <w:lastRenderedPageBreak/>
        <w:t>Workflows</w:t>
      </w:r>
    </w:p>
    <w:p w:rsidR="00AC683C" w:rsidRDefault="00FD2153">
      <w:pPr>
        <w:pStyle w:val="Ttol3"/>
      </w:pPr>
      <w:r>
        <w:rPr>
          <w:color w:val="ED7D31"/>
        </w:rPr>
        <w:t>R12. Archiv</w:t>
      </w:r>
      <w:r>
        <w:rPr>
          <w:color w:val="ED7D31"/>
        </w:rPr>
        <w:t>ing takes place according to defined workflows from ingest to dissemination.</w:t>
      </w:r>
    </w:p>
    <w:p w:rsidR="00AC683C" w:rsidRDefault="00FD2153">
      <w:pPr>
        <w:pStyle w:val="Textindependent"/>
        <w:spacing w:before="71"/>
      </w:pPr>
      <w:r>
        <w:t>Compliance Level:</w:t>
      </w:r>
    </w:p>
    <w:p w:rsidR="00AC683C" w:rsidRDefault="00FD2153">
      <w:pPr>
        <w:pStyle w:val="Ttol3"/>
        <w:spacing w:before="177"/>
        <w:rPr>
          <w:rFonts w:ascii="Arial"/>
        </w:rPr>
      </w:pPr>
      <w:r>
        <w:rPr>
          <w:rFonts w:ascii="Arial"/>
          <w:color w:val="538135"/>
        </w:rPr>
        <w:t>Response</w:t>
      </w:r>
    </w:p>
    <w:p w:rsidR="00AC683C" w:rsidRDefault="00FD2153">
      <w:pPr>
        <w:pStyle w:val="Ttol2"/>
        <w:spacing w:before="179"/>
      </w:pPr>
      <w:r>
        <w:t>Guidance:</w:t>
      </w:r>
    </w:p>
    <w:p w:rsidR="00AC683C" w:rsidRDefault="00FD2153">
      <w:pPr>
        <w:pStyle w:val="Textindependent"/>
        <w:spacing w:before="122"/>
        <w:ind w:right="405"/>
      </w:pPr>
      <w:r>
        <w:t xml:space="preserve">To ensure the consistency of practices across datasets and services and to avoid ad hoc actions, workflows should be defined according to the </w:t>
      </w:r>
      <w:r>
        <w:t>repository’s activities and clearly documented.</w:t>
      </w:r>
    </w:p>
    <w:p w:rsidR="00AC683C" w:rsidRDefault="00FD2153">
      <w:pPr>
        <w:pStyle w:val="Textindependent"/>
        <w:ind w:right="306"/>
      </w:pPr>
      <w:r>
        <w:t>Provisions for managed change should be in place. The OAIS reference model can help to specify the workflow functions of a repository.</w:t>
      </w:r>
    </w:p>
    <w:p w:rsidR="00AC683C" w:rsidRDefault="00FD2153">
      <w:pPr>
        <w:pStyle w:val="Textindependent"/>
        <w:spacing w:before="181"/>
      </w:pPr>
      <w:r>
        <w:t>For this Requirement, responses should include evidence related to the following:</w:t>
      </w:r>
    </w:p>
    <w:p w:rsidR="00AC683C" w:rsidRDefault="00FD2153">
      <w:pPr>
        <w:pStyle w:val="Pargrafdellista"/>
        <w:numPr>
          <w:ilvl w:val="1"/>
          <w:numId w:val="2"/>
        </w:numPr>
        <w:tabs>
          <w:tab w:val="left" w:pos="952"/>
          <w:tab w:val="left" w:pos="953"/>
        </w:tabs>
        <w:spacing w:before="179"/>
        <w:ind w:left="952"/>
      </w:pPr>
      <w:r>
        <w:t>Workflows/business process</w:t>
      </w:r>
      <w:r>
        <w:rPr>
          <w:spacing w:val="-2"/>
        </w:rPr>
        <w:t xml:space="preserve"> </w:t>
      </w:r>
      <w:r>
        <w:t>descriptions.</w:t>
      </w:r>
    </w:p>
    <w:p w:rsidR="00AC683C" w:rsidRDefault="00FD2153">
      <w:pPr>
        <w:pStyle w:val="Pargrafdellista"/>
        <w:numPr>
          <w:ilvl w:val="1"/>
          <w:numId w:val="2"/>
        </w:numPr>
        <w:tabs>
          <w:tab w:val="left" w:pos="952"/>
          <w:tab w:val="left" w:pos="953"/>
        </w:tabs>
        <w:spacing w:before="1" w:line="252" w:lineRule="exact"/>
        <w:ind w:left="952"/>
      </w:pPr>
      <w:r>
        <w:t>Clear communication to depositors and users about handling of</w:t>
      </w:r>
      <w:r>
        <w:rPr>
          <w:spacing w:val="-10"/>
        </w:rPr>
        <w:t xml:space="preserve"> </w:t>
      </w:r>
      <w:r>
        <w:t>data.</w:t>
      </w:r>
    </w:p>
    <w:p w:rsidR="00AC683C" w:rsidRDefault="00FD2153">
      <w:pPr>
        <w:pStyle w:val="Pargrafdellista"/>
        <w:numPr>
          <w:ilvl w:val="1"/>
          <w:numId w:val="2"/>
        </w:numPr>
        <w:tabs>
          <w:tab w:val="left" w:pos="952"/>
          <w:tab w:val="left" w:pos="953"/>
        </w:tabs>
        <w:spacing w:line="252" w:lineRule="exact"/>
        <w:ind w:left="952"/>
      </w:pPr>
      <w:r>
        <w:t>Levels of security and impact on workflows (guarding privacy of subjects,</w:t>
      </w:r>
      <w:r>
        <w:rPr>
          <w:spacing w:val="-6"/>
        </w:rPr>
        <w:t xml:space="preserve"> </w:t>
      </w:r>
      <w:r>
        <w:t>etc.).</w:t>
      </w:r>
    </w:p>
    <w:p w:rsidR="00AC683C" w:rsidRDefault="00FD2153">
      <w:pPr>
        <w:pStyle w:val="Pargrafdellista"/>
        <w:numPr>
          <w:ilvl w:val="1"/>
          <w:numId w:val="2"/>
        </w:numPr>
        <w:tabs>
          <w:tab w:val="left" w:pos="952"/>
          <w:tab w:val="left" w:pos="953"/>
        </w:tabs>
        <w:spacing w:before="2" w:line="252" w:lineRule="exact"/>
        <w:ind w:left="952"/>
      </w:pPr>
      <w:r>
        <w:t>Qualitative and quantitative checking of</w:t>
      </w:r>
      <w:r>
        <w:rPr>
          <w:spacing w:val="-2"/>
        </w:rPr>
        <w:t xml:space="preserve"> </w:t>
      </w:r>
      <w:r>
        <w:t>outputs.</w:t>
      </w:r>
    </w:p>
    <w:p w:rsidR="00AC683C" w:rsidRDefault="00FD2153">
      <w:pPr>
        <w:pStyle w:val="Pargrafdellista"/>
        <w:numPr>
          <w:ilvl w:val="1"/>
          <w:numId w:val="2"/>
        </w:numPr>
        <w:tabs>
          <w:tab w:val="left" w:pos="952"/>
          <w:tab w:val="left" w:pos="953"/>
        </w:tabs>
        <w:spacing w:line="252" w:lineRule="exact"/>
        <w:ind w:left="952"/>
      </w:pPr>
      <w:r>
        <w:t>The types of data managed and any impact on</w:t>
      </w:r>
      <w:r>
        <w:rPr>
          <w:spacing w:val="-6"/>
        </w:rPr>
        <w:t xml:space="preserve"> </w:t>
      </w:r>
      <w:r>
        <w:t>workflow.</w:t>
      </w:r>
    </w:p>
    <w:p w:rsidR="00AC683C" w:rsidRDefault="00FD2153">
      <w:pPr>
        <w:pStyle w:val="Pargrafdellista"/>
        <w:numPr>
          <w:ilvl w:val="1"/>
          <w:numId w:val="2"/>
        </w:numPr>
        <w:tabs>
          <w:tab w:val="left" w:pos="952"/>
          <w:tab w:val="left" w:pos="953"/>
        </w:tabs>
        <w:spacing w:line="252" w:lineRule="exact"/>
        <w:ind w:left="952"/>
      </w:pPr>
      <w:r>
        <w:t>Decision handling within the workflows (e.g., archival data</w:t>
      </w:r>
      <w:r>
        <w:rPr>
          <w:spacing w:val="-5"/>
        </w:rPr>
        <w:t xml:space="preserve"> </w:t>
      </w:r>
      <w:r>
        <w:t>transformat</w:t>
      </w:r>
      <w:r>
        <w:t>ion).</w:t>
      </w:r>
    </w:p>
    <w:p w:rsidR="00AC683C" w:rsidRDefault="00FD2153">
      <w:pPr>
        <w:pStyle w:val="Pargrafdellista"/>
        <w:numPr>
          <w:ilvl w:val="1"/>
          <w:numId w:val="2"/>
        </w:numPr>
        <w:tabs>
          <w:tab w:val="left" w:pos="952"/>
          <w:tab w:val="left" w:pos="953"/>
        </w:tabs>
        <w:spacing w:before="1"/>
        <w:ind w:left="952"/>
      </w:pPr>
      <w:r>
        <w:t>Change management of</w:t>
      </w:r>
      <w:r>
        <w:rPr>
          <w:spacing w:val="-5"/>
        </w:rPr>
        <w:t xml:space="preserve"> </w:t>
      </w:r>
      <w:r>
        <w:t>workflows.</w:t>
      </w:r>
    </w:p>
    <w:p w:rsidR="00AC683C" w:rsidRDefault="00FD2153">
      <w:pPr>
        <w:pStyle w:val="Textindependent"/>
        <w:spacing w:before="179"/>
      </w:pPr>
      <w:r>
        <w:t>This Requirement confirms that all workflows are documented.</w:t>
      </w:r>
    </w:p>
    <w:p w:rsidR="00AC683C" w:rsidRDefault="000A2A0E">
      <w:pPr>
        <w:pStyle w:val="Ttol2"/>
        <w:spacing w:before="180"/>
      </w:pPr>
      <w:r>
        <w:rPr>
          <w:noProof/>
          <w:lang w:val="es-ES" w:eastAsia="es-ES" w:bidi="ar-SA"/>
        </w:rPr>
        <mc:AlternateContent>
          <mc:Choice Requires="wps">
            <w:drawing>
              <wp:anchor distT="0" distB="0" distL="0" distR="0" simplePos="0" relativeHeight="251687936" behindDoc="1" locked="0" layoutInCell="1" allowOverlap="1">
                <wp:simplePos x="0" y="0"/>
                <wp:positionH relativeFrom="page">
                  <wp:posOffset>647700</wp:posOffset>
                </wp:positionH>
                <wp:positionV relativeFrom="paragraph">
                  <wp:posOffset>371475</wp:posOffset>
                </wp:positionV>
                <wp:extent cx="6262370" cy="949960"/>
                <wp:effectExtent l="0" t="0" r="0" b="0"/>
                <wp:wrapTopAndBottom/>
                <wp:docPr id="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2370" cy="949960"/>
                        </a:xfrm>
                        <a:prstGeom prst="rect">
                          <a:avLst/>
                        </a:prstGeom>
                        <a:noFill/>
                        <a:ln w="6096">
                          <a:solidFill>
                            <a:srgbClr val="2E75B5"/>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AC683C" w:rsidRDefault="00FD2153">
                            <w:pPr>
                              <w:pStyle w:val="Textindependent"/>
                              <w:spacing w:before="17"/>
                              <w:ind w:left="107" w:right="406"/>
                            </w:pPr>
                            <w:r>
                              <w:rPr>
                                <w:color w:val="2E75B5"/>
                              </w:rPr>
                              <w:t>The reviewer is looking for evidence that the applicant takes a consistent, rigorous, documented approach to managing all activities throughout their proc</w:t>
                            </w:r>
                            <w:r>
                              <w:rPr>
                                <w:color w:val="2E75B5"/>
                              </w:rPr>
                              <w:t>esses and that changes to those processes are appropriately implemented, evaluated, recorded, and administered.</w:t>
                            </w:r>
                          </w:p>
                          <w:p w:rsidR="00AC683C" w:rsidRDefault="00FD2153">
                            <w:pPr>
                              <w:pStyle w:val="Textindependent"/>
                              <w:spacing w:before="179"/>
                              <w:ind w:left="107" w:right="211"/>
                            </w:pPr>
                            <w:r>
                              <w:rPr>
                                <w:color w:val="2E75B5"/>
                              </w:rPr>
                              <w:t>The Requirement does not demand detailed descriptions of workflows, but seeks evidence of how and where these workflows are documented.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63" type="#_x0000_t202" style="position:absolute;left:0;text-align:left;margin-left:51pt;margin-top:29.25pt;width:493.1pt;height:74.8pt;z-index:-251628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" filled="f" strokecolor="#2e75b5" strokeweight=".48pt">
                <v:textbox inset="0,0,0,0">
                  <w:txbxContent>
                    <w:p w:rsidR="00AC683C" w:rsidRDefault="00FD2153">
                      <w:pPr>
                        <w:pStyle w:val="Textindependent"/>
                        <w:spacing w:before="17"/>
                        <w:ind w:left="107" w:right="406"/>
                      </w:pPr>
                      <w:r>
                        <w:rPr>
                          <w:color w:val="2E75B5"/>
                        </w:rPr>
                        <w:t>The reviewer is looking for evidence that the applicant takes a consistent, rigorous, documented approach to managing all activities throughout their proc</w:t>
                      </w:r>
                      <w:r>
                        <w:rPr>
                          <w:color w:val="2E75B5"/>
                        </w:rPr>
                        <w:t>esses and that changes to those processes are appropriately implemented, evaluated, recorded, and administered.</w:t>
                      </w:r>
                    </w:p>
                    <w:p w:rsidR="00AC683C" w:rsidRDefault="00FD2153">
                      <w:pPr>
                        <w:pStyle w:val="Textindependent"/>
                        <w:spacing w:before="179"/>
                        <w:ind w:left="107" w:right="211"/>
                      </w:pPr>
                      <w:r>
                        <w:rPr>
                          <w:color w:val="2E75B5"/>
                        </w:rPr>
                        <w:t>The Requirement does not demand detailed descriptions of workflows, but seeks evidence of how and where these workflows are documented.</w:t>
                      </w:r>
                    </w:p>
                  </w:txbxContent>
                </v:textbox>
                <w10:wrap type="topAndBottom" anchorx="page"/>
              </v:shape>
            </w:pict>
          </mc:Fallback>
        </mc:AlternateContent>
      </w:r>
      <w:bookmarkStart w:id="68" w:name="Extended_Guidance_R12."/>
      <w:bookmarkEnd w:id="68"/>
      <w:r w:rsidR="00FD2153">
        <w:t>Extended</w:t>
      </w:r>
      <w:r w:rsidR="00FD2153">
        <w:t xml:space="preserve"> Guidance R12.</w:t>
      </w:r>
    </w:p>
    <w:p w:rsidR="00AC683C" w:rsidRDefault="00AC683C">
      <w:pPr>
        <w:sectPr w:rsidR="00AC683C">
          <w:pgSz w:w="11910" w:h="16840"/>
          <w:pgMar w:top="1020" w:right="900" w:bottom="1060" w:left="900" w:header="724" w:footer="860" w:gutter="0"/>
          <w:cols w:space="720"/>
        </w:sectPr>
      </w:pPr>
    </w:p>
    <w:p w:rsidR="00AC683C" w:rsidRDefault="00FD2153">
      <w:pPr>
        <w:pStyle w:val="Pargrafdellista"/>
        <w:numPr>
          <w:ilvl w:val="0"/>
          <w:numId w:val="2"/>
        </w:numPr>
        <w:tabs>
          <w:tab w:val="left" w:pos="666"/>
        </w:tabs>
        <w:spacing w:before="91"/>
        <w:ind w:left="665" w:hanging="434"/>
        <w:rPr>
          <w:b/>
          <w:sz w:val="26"/>
        </w:rPr>
      </w:pPr>
      <w:bookmarkStart w:id="69" w:name="13._Data_discovery_and_identification"/>
      <w:bookmarkStart w:id="70" w:name="_bookmark28"/>
      <w:bookmarkEnd w:id="69"/>
      <w:bookmarkEnd w:id="70"/>
      <w:r>
        <w:rPr>
          <w:b/>
          <w:sz w:val="26"/>
        </w:rPr>
        <w:lastRenderedPageBreak/>
        <w:t>Data discovery and</w:t>
      </w:r>
      <w:r>
        <w:rPr>
          <w:b/>
          <w:spacing w:val="-4"/>
          <w:sz w:val="26"/>
        </w:rPr>
        <w:t xml:space="preserve"> </w:t>
      </w:r>
      <w:r>
        <w:rPr>
          <w:b/>
          <w:sz w:val="26"/>
        </w:rPr>
        <w:t>identification</w:t>
      </w:r>
    </w:p>
    <w:p w:rsidR="00AC683C" w:rsidRDefault="00FD2153">
      <w:pPr>
        <w:pStyle w:val="Ttol3"/>
        <w:ind w:right="286"/>
      </w:pPr>
      <w:r>
        <w:rPr>
          <w:color w:val="ED7D31"/>
        </w:rPr>
        <w:t>R13. The repository enables users to discover the data and refer to them in a persistent way through proper citation.</w:t>
      </w:r>
    </w:p>
    <w:p w:rsidR="00AC683C" w:rsidRDefault="00FD2153">
      <w:pPr>
        <w:pStyle w:val="Textindependent"/>
        <w:spacing w:before="70"/>
      </w:pPr>
      <w:r>
        <w:t>Compliance Level:</w:t>
      </w:r>
    </w:p>
    <w:p w:rsidR="00AC683C" w:rsidRDefault="00FD2153">
      <w:pPr>
        <w:pStyle w:val="Ttol3"/>
        <w:spacing w:before="177"/>
        <w:rPr>
          <w:rFonts w:ascii="Arial"/>
        </w:rPr>
      </w:pPr>
      <w:r>
        <w:rPr>
          <w:rFonts w:ascii="Arial"/>
          <w:color w:val="538135"/>
        </w:rPr>
        <w:t>Response</w:t>
      </w:r>
    </w:p>
    <w:p w:rsidR="00AC683C" w:rsidRDefault="00FD2153">
      <w:pPr>
        <w:pStyle w:val="Ttol2"/>
      </w:pPr>
      <w:r>
        <w:t>Guidance:</w:t>
      </w:r>
    </w:p>
    <w:p w:rsidR="00AC683C" w:rsidRDefault="00FD2153">
      <w:pPr>
        <w:pStyle w:val="Textindependent"/>
        <w:spacing w:before="122"/>
        <w:ind w:right="245"/>
      </w:pPr>
      <w:r>
        <w:t>Effective data discovery is key to data sharing. Once discovered, datasets should be referenceable through full citations, including persistent identifiers to help ensure that data can be accessed into the future.</w:t>
      </w:r>
    </w:p>
    <w:p w:rsidR="00AC683C" w:rsidRDefault="00FD2153">
      <w:pPr>
        <w:pStyle w:val="Textindependent"/>
        <w:spacing w:before="180"/>
      </w:pPr>
      <w:r>
        <w:t>For this Requirement, responses should inc</w:t>
      </w:r>
      <w:r>
        <w:t>lude evidence related to the following questions:</w:t>
      </w:r>
    </w:p>
    <w:p w:rsidR="00AC683C" w:rsidRDefault="00FD2153">
      <w:pPr>
        <w:pStyle w:val="Pargrafdellista"/>
        <w:numPr>
          <w:ilvl w:val="1"/>
          <w:numId w:val="2"/>
        </w:numPr>
        <w:tabs>
          <w:tab w:val="left" w:pos="952"/>
          <w:tab w:val="left" w:pos="953"/>
        </w:tabs>
        <w:spacing w:before="179"/>
        <w:ind w:left="952"/>
      </w:pPr>
      <w:r>
        <w:t>Does the repository offer search</w:t>
      </w:r>
      <w:r>
        <w:rPr>
          <w:spacing w:val="-9"/>
        </w:rPr>
        <w:t xml:space="preserve"> </w:t>
      </w:r>
      <w:r>
        <w:t>facilities?</w:t>
      </w:r>
    </w:p>
    <w:p w:rsidR="00AC683C" w:rsidRDefault="00FD2153">
      <w:pPr>
        <w:pStyle w:val="Pargrafdellista"/>
        <w:numPr>
          <w:ilvl w:val="1"/>
          <w:numId w:val="2"/>
        </w:numPr>
        <w:tabs>
          <w:tab w:val="left" w:pos="952"/>
          <w:tab w:val="left" w:pos="953"/>
        </w:tabs>
        <w:spacing w:before="1"/>
        <w:ind w:left="952" w:right="1617"/>
      </w:pPr>
      <w:r>
        <w:t>Does the repository maintain a searchable metadata catalogue to appropriate (internationally agreed)</w:t>
      </w:r>
      <w:r>
        <w:rPr>
          <w:spacing w:val="-4"/>
        </w:rPr>
        <w:t xml:space="preserve"> </w:t>
      </w:r>
      <w:r>
        <w:t>standards?</w:t>
      </w:r>
    </w:p>
    <w:p w:rsidR="00AC683C" w:rsidRDefault="00FD2153">
      <w:pPr>
        <w:pStyle w:val="Pargrafdellista"/>
        <w:numPr>
          <w:ilvl w:val="1"/>
          <w:numId w:val="2"/>
        </w:numPr>
        <w:tabs>
          <w:tab w:val="left" w:pos="952"/>
          <w:tab w:val="left" w:pos="953"/>
        </w:tabs>
        <w:spacing w:before="1" w:line="252" w:lineRule="exact"/>
        <w:ind w:left="952"/>
      </w:pPr>
      <w:r>
        <w:t>What persistent identifier systems does the repository</w:t>
      </w:r>
      <w:r>
        <w:rPr>
          <w:spacing w:val="-12"/>
        </w:rPr>
        <w:t xml:space="preserve"> </w:t>
      </w:r>
      <w:r>
        <w:t>use?</w:t>
      </w:r>
    </w:p>
    <w:p w:rsidR="00AC683C" w:rsidRDefault="00FD2153">
      <w:pPr>
        <w:pStyle w:val="Pargrafdellista"/>
        <w:numPr>
          <w:ilvl w:val="1"/>
          <w:numId w:val="2"/>
        </w:numPr>
        <w:tabs>
          <w:tab w:val="left" w:pos="952"/>
          <w:tab w:val="left" w:pos="953"/>
        </w:tabs>
        <w:spacing w:line="252" w:lineRule="exact"/>
        <w:ind w:left="952"/>
      </w:pPr>
      <w:r>
        <w:t>Does the repository facilitate machine harvesting of the</w:t>
      </w:r>
      <w:r>
        <w:rPr>
          <w:spacing w:val="-13"/>
        </w:rPr>
        <w:t xml:space="preserve"> </w:t>
      </w:r>
      <w:r>
        <w:t>metadata?</w:t>
      </w:r>
    </w:p>
    <w:p w:rsidR="00AC683C" w:rsidRDefault="00FD2153">
      <w:pPr>
        <w:pStyle w:val="Pargrafdellista"/>
        <w:numPr>
          <w:ilvl w:val="1"/>
          <w:numId w:val="2"/>
        </w:numPr>
        <w:tabs>
          <w:tab w:val="left" w:pos="952"/>
          <w:tab w:val="left" w:pos="953"/>
        </w:tabs>
        <w:spacing w:line="252" w:lineRule="exact"/>
        <w:ind w:left="952"/>
      </w:pPr>
      <w:r>
        <w:t>Is the repository included in one or more disciplinary or generic registries of</w:t>
      </w:r>
      <w:r>
        <w:rPr>
          <w:spacing w:val="-30"/>
        </w:rPr>
        <w:t xml:space="preserve"> </w:t>
      </w:r>
      <w:r>
        <w:t>resources?</w:t>
      </w:r>
    </w:p>
    <w:p w:rsidR="00AC683C" w:rsidRDefault="00FD2153">
      <w:pPr>
        <w:pStyle w:val="Pargrafdellista"/>
        <w:numPr>
          <w:ilvl w:val="1"/>
          <w:numId w:val="2"/>
        </w:numPr>
        <w:tabs>
          <w:tab w:val="left" w:pos="952"/>
          <w:tab w:val="left" w:pos="953"/>
        </w:tabs>
        <w:spacing w:before="1"/>
        <w:ind w:left="952"/>
      </w:pPr>
      <w:r>
        <w:t xml:space="preserve">Does the repository offer recommended </w:t>
      </w:r>
      <w:r>
        <w:t>data</w:t>
      </w:r>
      <w:r>
        <w:rPr>
          <w:spacing w:val="-6"/>
        </w:rPr>
        <w:t xml:space="preserve"> </w:t>
      </w:r>
      <w:r>
        <w:t>citations?</w:t>
      </w:r>
    </w:p>
    <w:p w:rsidR="00AC683C" w:rsidRDefault="000A2A0E">
      <w:pPr>
        <w:pStyle w:val="Ttol2"/>
        <w:spacing w:before="117"/>
      </w:pPr>
      <w:r>
        <w:rPr>
          <w:noProof/>
          <w:lang w:val="es-ES" w:eastAsia="es-ES" w:bidi="ar-SA"/>
        </w:rPr>
        <mc:AlternateContent>
          <mc:Choice Requires="wps">
            <w:drawing>
              <wp:anchor distT="0" distB="0" distL="0" distR="0" simplePos="0" relativeHeight="251688960" behindDoc="1" locked="0" layoutInCell="1" allowOverlap="1">
                <wp:simplePos x="0" y="0"/>
                <wp:positionH relativeFrom="page">
                  <wp:posOffset>647700</wp:posOffset>
                </wp:positionH>
                <wp:positionV relativeFrom="paragraph">
                  <wp:posOffset>331470</wp:posOffset>
                </wp:positionV>
                <wp:extent cx="6262370" cy="835660"/>
                <wp:effectExtent l="0" t="0" r="0" b="0"/>
                <wp:wrapTopAndBottom/>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2370" cy="835660"/>
                        </a:xfrm>
                        <a:prstGeom prst="rect">
                          <a:avLst/>
                        </a:prstGeom>
                        <a:noFill/>
                        <a:ln w="6096">
                          <a:solidFill>
                            <a:srgbClr val="2E75B5"/>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AC683C" w:rsidRDefault="00FD2153">
                            <w:pPr>
                              <w:pStyle w:val="Textindependent"/>
                              <w:spacing w:before="17"/>
                              <w:ind w:left="107" w:right="382"/>
                            </w:pPr>
                            <w:r>
                              <w:rPr>
                                <w:color w:val="2E75B5"/>
                              </w:rPr>
                              <w:t>The response should contain evidence that all curation of data and metadata supports the discovery of digital objects that are clearly defined and identified, and enables their linkage with related digital objects in accordance with domain standards. It sh</w:t>
                            </w:r>
                            <w:r>
                              <w:rPr>
                                <w:color w:val="2E75B5"/>
                              </w:rPr>
                              <w:t>ould be clear to the Designated Community how data are cited such that appropriate credit and attribution is given to the individuals/organizations who contributed to their creation.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64" type="#_x0000_t202" style="position:absolute;left:0;text-align:left;margin-left:51pt;margin-top:26.1pt;width:493.1pt;height:65.8pt;z-index:-251627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" filled="f" strokecolor="#2e75b5" strokeweight=".48pt">
                <v:textbox inset="0,0,0,0">
                  <w:txbxContent>
                    <w:p w:rsidR="00AC683C" w:rsidRDefault="00FD2153">
                      <w:pPr>
                        <w:pStyle w:val="Textindependent"/>
                        <w:spacing w:before="17"/>
                        <w:ind w:left="107" w:right="382"/>
                      </w:pPr>
                      <w:r>
                        <w:rPr>
                          <w:color w:val="2E75B5"/>
                        </w:rPr>
                        <w:t>The response should contain evidence that all curation of data and metadata supports the discovery of digital objects that are clearly defined and identified, and enables their linkage with related digital objects in accordance with domain standards. It sh</w:t>
                      </w:r>
                      <w:r>
                        <w:rPr>
                          <w:color w:val="2E75B5"/>
                        </w:rPr>
                        <w:t>ould be clear to the Designated Community how data are cited such that appropriate credit and attribution is given to the individuals/organizations who contributed to their creation.</w:t>
                      </w:r>
                    </w:p>
                  </w:txbxContent>
                </v:textbox>
                <w10:wrap type="topAndBottom" anchorx="page"/>
              </v:shape>
            </w:pict>
          </mc:Fallback>
        </mc:AlternateContent>
      </w:r>
      <w:bookmarkStart w:id="71" w:name="Extended_Guidance_R13."/>
      <w:bookmarkEnd w:id="71"/>
      <w:r w:rsidR="00FD2153">
        <w:t>Extended Guidance R13.</w:t>
      </w:r>
    </w:p>
    <w:p w:rsidR="00AC683C" w:rsidRDefault="00AC683C">
      <w:pPr>
        <w:sectPr w:rsidR="00AC683C">
          <w:pgSz w:w="11910" w:h="16840"/>
          <w:pgMar w:top="1020" w:right="900" w:bottom="1060" w:left="900" w:header="724" w:footer="860" w:gutter="0"/>
          <w:cols w:space="720"/>
        </w:sectPr>
      </w:pPr>
    </w:p>
    <w:p w:rsidR="00AC683C" w:rsidRDefault="00FD2153">
      <w:pPr>
        <w:pStyle w:val="Pargrafdellista"/>
        <w:numPr>
          <w:ilvl w:val="0"/>
          <w:numId w:val="2"/>
        </w:numPr>
        <w:tabs>
          <w:tab w:val="left" w:pos="665"/>
        </w:tabs>
        <w:spacing w:before="91"/>
        <w:ind w:left="664" w:hanging="433"/>
        <w:rPr>
          <w:b/>
          <w:sz w:val="26"/>
        </w:rPr>
      </w:pPr>
      <w:bookmarkStart w:id="72" w:name="14._Data_reuse"/>
      <w:bookmarkStart w:id="73" w:name="_bookmark29"/>
      <w:bookmarkEnd w:id="72"/>
      <w:bookmarkEnd w:id="73"/>
      <w:r>
        <w:rPr>
          <w:b/>
          <w:sz w:val="26"/>
        </w:rPr>
        <w:lastRenderedPageBreak/>
        <w:t>Data</w:t>
      </w:r>
      <w:r>
        <w:rPr>
          <w:b/>
          <w:spacing w:val="-2"/>
          <w:sz w:val="26"/>
        </w:rPr>
        <w:t xml:space="preserve"> </w:t>
      </w:r>
      <w:r>
        <w:rPr>
          <w:b/>
          <w:sz w:val="26"/>
        </w:rPr>
        <w:t>reuse</w:t>
      </w:r>
    </w:p>
    <w:p w:rsidR="00AC683C" w:rsidRDefault="00FD2153">
      <w:pPr>
        <w:pStyle w:val="Ttol3"/>
        <w:ind w:right="223"/>
      </w:pPr>
      <w:r>
        <w:rPr>
          <w:color w:val="ED7D31"/>
        </w:rPr>
        <w:t>R14. The repository e</w:t>
      </w:r>
      <w:r>
        <w:rPr>
          <w:color w:val="ED7D31"/>
        </w:rPr>
        <w:t>nables reuse of the data over time, ensuring that appropriate metadata are available to support the understanding and use of the data.</w:t>
      </w:r>
    </w:p>
    <w:p w:rsidR="00AC683C" w:rsidRDefault="00FD2153">
      <w:pPr>
        <w:pStyle w:val="Textindependent"/>
        <w:spacing w:before="70"/>
      </w:pPr>
      <w:r>
        <w:t>Compliance Level:</w:t>
      </w:r>
    </w:p>
    <w:p w:rsidR="00AC683C" w:rsidRDefault="00FD2153">
      <w:pPr>
        <w:pStyle w:val="Ttol3"/>
        <w:spacing w:before="177"/>
        <w:rPr>
          <w:rFonts w:ascii="Arial"/>
        </w:rPr>
      </w:pPr>
      <w:r>
        <w:rPr>
          <w:rFonts w:ascii="Arial"/>
          <w:color w:val="538135"/>
        </w:rPr>
        <w:t>Response</w:t>
      </w:r>
    </w:p>
    <w:p w:rsidR="00AC683C" w:rsidRDefault="00FD2153">
      <w:pPr>
        <w:pStyle w:val="Ttol2"/>
      </w:pPr>
      <w:r>
        <w:t>Guidance:</w:t>
      </w:r>
    </w:p>
    <w:p w:rsidR="00AC683C" w:rsidRDefault="00FD2153">
      <w:pPr>
        <w:pStyle w:val="Textindependent"/>
        <w:spacing w:before="122"/>
        <w:ind w:right="318"/>
      </w:pPr>
      <w:r>
        <w:t>Repositories must ensure that data continues to be understood and used effectively i</w:t>
      </w:r>
      <w:r>
        <w:t>nto the future despite changes in technology and the Designated Community’s knowledge base. This Requirement evaluates the measures taken to ensure that data are reusable.</w:t>
      </w:r>
    </w:p>
    <w:p w:rsidR="00AC683C" w:rsidRDefault="00FD2153">
      <w:pPr>
        <w:pStyle w:val="Textindependent"/>
        <w:spacing w:before="180"/>
      </w:pPr>
      <w:r>
        <w:t>For this Requirement, responses should include evidence related to the following que</w:t>
      </w:r>
      <w:r>
        <w:t>stions:</w:t>
      </w:r>
    </w:p>
    <w:p w:rsidR="00AC683C" w:rsidRDefault="00FD2153">
      <w:pPr>
        <w:pStyle w:val="Pargrafdellista"/>
        <w:numPr>
          <w:ilvl w:val="1"/>
          <w:numId w:val="2"/>
        </w:numPr>
        <w:tabs>
          <w:tab w:val="left" w:pos="952"/>
          <w:tab w:val="left" w:pos="953"/>
        </w:tabs>
        <w:spacing w:before="179"/>
        <w:ind w:left="952"/>
      </w:pPr>
      <w:r>
        <w:t>Which metadata are provided by the repository when the data are</w:t>
      </w:r>
      <w:r>
        <w:rPr>
          <w:spacing w:val="-19"/>
        </w:rPr>
        <w:t xml:space="preserve"> </w:t>
      </w:r>
      <w:r>
        <w:t>accessed?</w:t>
      </w:r>
    </w:p>
    <w:p w:rsidR="00AC683C" w:rsidRDefault="00FD2153">
      <w:pPr>
        <w:pStyle w:val="Pargrafdellista"/>
        <w:numPr>
          <w:ilvl w:val="1"/>
          <w:numId w:val="2"/>
        </w:numPr>
        <w:tabs>
          <w:tab w:val="left" w:pos="952"/>
          <w:tab w:val="left" w:pos="953"/>
        </w:tabs>
        <w:spacing w:before="1" w:line="252" w:lineRule="exact"/>
        <w:ind w:left="952"/>
      </w:pPr>
      <w:r>
        <w:t>How does the repository ensure continued understandability of the</w:t>
      </w:r>
      <w:r>
        <w:rPr>
          <w:spacing w:val="-13"/>
        </w:rPr>
        <w:t xml:space="preserve"> </w:t>
      </w:r>
      <w:r>
        <w:t>data?</w:t>
      </w:r>
    </w:p>
    <w:p w:rsidR="00AC683C" w:rsidRDefault="00FD2153">
      <w:pPr>
        <w:pStyle w:val="Pargrafdellista"/>
        <w:numPr>
          <w:ilvl w:val="1"/>
          <w:numId w:val="2"/>
        </w:numPr>
        <w:tabs>
          <w:tab w:val="left" w:pos="952"/>
          <w:tab w:val="left" w:pos="953"/>
        </w:tabs>
        <w:spacing w:line="252" w:lineRule="exact"/>
        <w:ind w:left="952"/>
      </w:pPr>
      <w:r>
        <w:t>Are data provided in formats used by the Designated Community? Which</w:t>
      </w:r>
      <w:r>
        <w:rPr>
          <w:spacing w:val="-27"/>
        </w:rPr>
        <w:t xml:space="preserve"> </w:t>
      </w:r>
      <w:r>
        <w:t>formats?</w:t>
      </w:r>
    </w:p>
    <w:p w:rsidR="00AC683C" w:rsidRDefault="00FD2153">
      <w:pPr>
        <w:pStyle w:val="Pargrafdellista"/>
        <w:numPr>
          <w:ilvl w:val="1"/>
          <w:numId w:val="2"/>
        </w:numPr>
        <w:tabs>
          <w:tab w:val="left" w:pos="952"/>
          <w:tab w:val="left" w:pos="953"/>
        </w:tabs>
        <w:spacing w:before="2"/>
        <w:ind w:left="952"/>
      </w:pPr>
      <w:r>
        <w:t>Are measures taken to account for the possible evolution of</w:t>
      </w:r>
      <w:r>
        <w:rPr>
          <w:spacing w:val="-15"/>
        </w:rPr>
        <w:t xml:space="preserve"> </w:t>
      </w:r>
      <w:r>
        <w:t>formats?</w:t>
      </w:r>
    </w:p>
    <w:p w:rsidR="00AC683C" w:rsidRDefault="00FD2153">
      <w:pPr>
        <w:pStyle w:val="Textindependent"/>
        <w:spacing w:before="198"/>
        <w:ind w:right="453"/>
      </w:pPr>
      <w:r>
        <w:t xml:space="preserve">The concept of ‘reuse’ is critical in environments in which secondary analysis outputs are redeposited into a repository alongside primary data, since the provenance chain and associated </w:t>
      </w:r>
      <w:r>
        <w:t>rights issues may then become increasingly complicated.</w:t>
      </w:r>
    </w:p>
    <w:p w:rsidR="00AC683C" w:rsidRDefault="000A2A0E">
      <w:pPr>
        <w:pStyle w:val="Ttol2"/>
        <w:spacing w:before="180"/>
      </w:pPr>
      <w:r>
        <w:rPr>
          <w:noProof/>
          <w:lang w:val="es-ES" w:eastAsia="es-ES" w:bidi="ar-SA"/>
        </w:rPr>
        <mc:AlternateContent>
          <mc:Choice Requires="wps">
            <w:drawing>
              <wp:anchor distT="0" distB="0" distL="0" distR="0" simplePos="0" relativeHeight="251689984" behindDoc="1" locked="0" layoutInCell="1" allowOverlap="1">
                <wp:simplePos x="0" y="0"/>
                <wp:positionH relativeFrom="page">
                  <wp:posOffset>647700</wp:posOffset>
                </wp:positionH>
                <wp:positionV relativeFrom="paragraph">
                  <wp:posOffset>371475</wp:posOffset>
                </wp:positionV>
                <wp:extent cx="6262370" cy="1798955"/>
                <wp:effectExtent l="0" t="0" r="0" b="0"/>
                <wp:wrapTopAndBottom/>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2370" cy="1798955"/>
                        </a:xfrm>
                        <a:prstGeom prst="rect">
                          <a:avLst/>
                        </a:prstGeom>
                        <a:noFill/>
                        <a:ln w="6096">
                          <a:solidFill>
                            <a:srgbClr val="2E75B5"/>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AC683C" w:rsidRDefault="00FD2153">
                            <w:pPr>
                              <w:pStyle w:val="Textindependent"/>
                              <w:spacing w:before="17"/>
                              <w:ind w:left="107" w:right="150"/>
                            </w:pPr>
                            <w:r>
                              <w:rPr>
                                <w:color w:val="2E75B5"/>
                              </w:rPr>
                              <w:t>To meet this Requirement, the applicant should demonstrate both an in-depth knowledge of reuse scenarios and the needs of the Designated Community in terms of their practices, technical environment, and (adherence to) applicable standards. Changes in techn</w:t>
                            </w:r>
                            <w:r>
                              <w:rPr>
                                <w:color w:val="2E75B5"/>
                              </w:rPr>
                              <w:t>ology and in the methodologies and norms employed by the Designated Community can lead to a need to reconsider the format in which data are disseminated. Similarly, appropriate, high-quality metadata conforming to a generalized and/or disciplinary-specific</w:t>
                            </w:r>
                            <w:r>
                              <w:rPr>
                                <w:color w:val="2E75B5"/>
                              </w:rPr>
                              <w:t xml:space="preserve"> schema play an essential role and should be referred to in the evidence provided. The latter information is critical to design curation processes that ensure digital objects remain over time understandable and usable by the Designated Community. In partic</w:t>
                            </w:r>
                            <w:r>
                              <w:rPr>
                                <w:color w:val="2E75B5"/>
                              </w:rPr>
                              <w:t>ular, if only a generalized metadata schema (such as Dublin Core or DataCite) is employed, the applicant should provide evidence that this is sufficient for continued understandability of the preserved content by the Designated Community.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65" type="#_x0000_t202" style="position:absolute;left:0;text-align:left;margin-left:51pt;margin-top:29.25pt;width:493.1pt;height:141.65pt;z-index:-251626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" filled="f" strokecolor="#2e75b5" strokeweight=".48pt">
                <v:textbox inset="0,0,0,0">
                  <w:txbxContent>
                    <w:p w:rsidR="00AC683C" w:rsidRDefault="00FD2153">
                      <w:pPr>
                        <w:pStyle w:val="Textindependent"/>
                        <w:spacing w:before="17"/>
                        <w:ind w:left="107" w:right="150"/>
                      </w:pPr>
                      <w:r>
                        <w:rPr>
                          <w:color w:val="2E75B5"/>
                        </w:rPr>
                        <w:t>To meet this Requirement, the applicant should demonstrate both an in-depth knowledge of reuse scenarios and the needs of the Designated Community in terms of their practices, technical environment, and (adherence to) applicable standards. Changes in techn</w:t>
                      </w:r>
                      <w:r>
                        <w:rPr>
                          <w:color w:val="2E75B5"/>
                        </w:rPr>
                        <w:t>ology and in the methodologies and norms employed by the Designated Community can lead to a need to reconsider the format in which data are disseminated. Similarly, appropriate, high-quality metadata conforming to a generalized and/or disciplinary-specific</w:t>
                      </w:r>
                      <w:r>
                        <w:rPr>
                          <w:color w:val="2E75B5"/>
                        </w:rPr>
                        <w:t xml:space="preserve"> schema play an essential role and should be referred to in the evidence provided. The latter information is critical to design curation processes that ensure digital objects remain over time understandable and usable by the Designated Community. In partic</w:t>
                      </w:r>
                      <w:r>
                        <w:rPr>
                          <w:color w:val="2E75B5"/>
                        </w:rPr>
                        <w:t>ular, if only a generalized metadata schema (such as Dublin Core or DataCite) is employed, the applicant should provide evidence that this is sufficient for continued understandability of the preserved content by the Designated Community.</w:t>
                      </w:r>
                    </w:p>
                  </w:txbxContent>
                </v:textbox>
                <w10:wrap type="topAndBottom" anchorx="page"/>
              </v:shape>
            </w:pict>
          </mc:Fallback>
        </mc:AlternateContent>
      </w:r>
      <w:bookmarkStart w:id="74" w:name="Extended_Guidance_R14."/>
      <w:bookmarkEnd w:id="74"/>
      <w:r w:rsidR="00FD2153">
        <w:t>Extended Guidance</w:t>
      </w:r>
      <w:r w:rsidR="00FD2153">
        <w:t xml:space="preserve"> R14.</w:t>
      </w:r>
    </w:p>
    <w:p w:rsidR="00AC683C" w:rsidRDefault="00AC683C">
      <w:pPr>
        <w:sectPr w:rsidR="00AC683C">
          <w:pgSz w:w="11910" w:h="16840"/>
          <w:pgMar w:top="1020" w:right="900" w:bottom="1060" w:left="900" w:header="724" w:footer="860" w:gutter="0"/>
          <w:cols w:space="720"/>
        </w:sectPr>
      </w:pPr>
    </w:p>
    <w:p w:rsidR="00AC683C" w:rsidRDefault="00FD2153">
      <w:pPr>
        <w:spacing w:before="92"/>
        <w:ind w:left="232"/>
        <w:rPr>
          <w:b/>
          <w:sz w:val="28"/>
        </w:rPr>
      </w:pPr>
      <w:bookmarkStart w:id="75" w:name="Technology"/>
      <w:bookmarkStart w:id="76" w:name="_bookmark30"/>
      <w:bookmarkEnd w:id="75"/>
      <w:bookmarkEnd w:id="76"/>
      <w:r>
        <w:rPr>
          <w:b/>
          <w:sz w:val="28"/>
        </w:rPr>
        <w:lastRenderedPageBreak/>
        <w:t>Technology</w:t>
      </w:r>
    </w:p>
    <w:p w:rsidR="00AC683C" w:rsidRDefault="00FD2153">
      <w:pPr>
        <w:pStyle w:val="Pargrafdellista"/>
        <w:numPr>
          <w:ilvl w:val="0"/>
          <w:numId w:val="2"/>
        </w:numPr>
        <w:tabs>
          <w:tab w:val="left" w:pos="666"/>
        </w:tabs>
        <w:spacing w:before="121"/>
        <w:ind w:left="665" w:hanging="434"/>
        <w:rPr>
          <w:b/>
          <w:sz w:val="26"/>
        </w:rPr>
      </w:pPr>
      <w:bookmarkStart w:id="77" w:name="15._Technical_infrastructure"/>
      <w:bookmarkStart w:id="78" w:name="_bookmark31"/>
      <w:bookmarkEnd w:id="77"/>
      <w:bookmarkEnd w:id="78"/>
      <w:r>
        <w:rPr>
          <w:b/>
          <w:sz w:val="26"/>
        </w:rPr>
        <w:t>Technical</w:t>
      </w:r>
      <w:r>
        <w:rPr>
          <w:b/>
          <w:spacing w:val="1"/>
          <w:sz w:val="26"/>
        </w:rPr>
        <w:t xml:space="preserve"> </w:t>
      </w:r>
      <w:r>
        <w:rPr>
          <w:b/>
          <w:sz w:val="26"/>
        </w:rPr>
        <w:t>infrastructure</w:t>
      </w:r>
    </w:p>
    <w:p w:rsidR="00AC683C" w:rsidRDefault="00FD2153">
      <w:pPr>
        <w:pStyle w:val="Ttol3"/>
        <w:spacing w:before="110"/>
        <w:ind w:right="349"/>
      </w:pPr>
      <w:r>
        <w:rPr>
          <w:color w:val="ED7D31"/>
        </w:rPr>
        <w:t>R15. The repository functions on well-supported operating systems and other core infrastructural software and is using hardware and software technologies appropriate to the services it provides to</w:t>
      </w:r>
      <w:r>
        <w:rPr>
          <w:color w:val="ED7D31"/>
        </w:rPr>
        <w:t xml:space="preserve"> its Designated Community.</w:t>
      </w:r>
    </w:p>
    <w:p w:rsidR="00AC683C" w:rsidRDefault="00FD2153">
      <w:pPr>
        <w:pStyle w:val="Textindependent"/>
        <w:spacing w:before="72"/>
      </w:pPr>
      <w:r>
        <w:t>Compliance Level:</w:t>
      </w:r>
    </w:p>
    <w:p w:rsidR="00AC683C" w:rsidRDefault="00FD2153">
      <w:pPr>
        <w:pStyle w:val="Ttol3"/>
        <w:spacing w:before="177"/>
        <w:rPr>
          <w:rFonts w:ascii="Arial"/>
        </w:rPr>
      </w:pPr>
      <w:r>
        <w:rPr>
          <w:rFonts w:ascii="Arial"/>
          <w:color w:val="538135"/>
        </w:rPr>
        <w:t>Response</w:t>
      </w:r>
    </w:p>
    <w:p w:rsidR="00AC683C" w:rsidRDefault="00FD2153">
      <w:pPr>
        <w:pStyle w:val="Ttol2"/>
        <w:spacing w:before="179"/>
      </w:pPr>
      <w:r>
        <w:t>Guidance:</w:t>
      </w:r>
    </w:p>
    <w:p w:rsidR="00AC683C" w:rsidRDefault="00FD2153">
      <w:pPr>
        <w:pStyle w:val="Textindependent"/>
        <w:spacing w:before="122"/>
        <w:ind w:right="662"/>
        <w:jc w:val="both"/>
      </w:pPr>
      <w:r>
        <w:t>Repositories need to operate on reliable and stable core infrastructures that maximizes service availability. Furthermore, hardware and software used must be relevant and appropriate to the De</w:t>
      </w:r>
      <w:r>
        <w:t>signated Community and to the functions that a repository fulfils. The OAIS reference model specifies the functions of a repository in meeting user needs.</w:t>
      </w:r>
    </w:p>
    <w:p w:rsidR="00AC683C" w:rsidRDefault="00FD2153">
      <w:pPr>
        <w:pStyle w:val="Textindependent"/>
        <w:spacing w:before="181"/>
        <w:jc w:val="both"/>
      </w:pPr>
      <w:r>
        <w:t>For this Requirement, responses should include evidence related to the following questions:</w:t>
      </w:r>
    </w:p>
    <w:p w:rsidR="00AC683C" w:rsidRDefault="00FD2153">
      <w:pPr>
        <w:pStyle w:val="Pargrafdellista"/>
        <w:numPr>
          <w:ilvl w:val="1"/>
          <w:numId w:val="2"/>
        </w:numPr>
        <w:tabs>
          <w:tab w:val="left" w:pos="952"/>
          <w:tab w:val="left" w:pos="953"/>
        </w:tabs>
        <w:spacing w:before="179"/>
        <w:ind w:left="952" w:right="882"/>
      </w:pPr>
      <w:r>
        <w:t>What standards does the repository use for reference? Are these international and/or community standards? How often are these</w:t>
      </w:r>
      <w:r>
        <w:rPr>
          <w:spacing w:val="-15"/>
        </w:rPr>
        <w:t xml:space="preserve"> </w:t>
      </w:r>
      <w:r>
        <w:t>reviewed?</w:t>
      </w:r>
    </w:p>
    <w:p w:rsidR="00AC683C" w:rsidRDefault="00FD2153">
      <w:pPr>
        <w:pStyle w:val="Pargrafdellista"/>
        <w:numPr>
          <w:ilvl w:val="1"/>
          <w:numId w:val="2"/>
        </w:numPr>
        <w:tabs>
          <w:tab w:val="left" w:pos="952"/>
          <w:tab w:val="left" w:pos="953"/>
        </w:tabs>
        <w:ind w:left="952" w:right="1152"/>
      </w:pPr>
      <w:r>
        <w:t>How are the standards implemented? Are there any significant deviations from the standard? If so, please</w:t>
      </w:r>
      <w:r>
        <w:rPr>
          <w:spacing w:val="-5"/>
        </w:rPr>
        <w:t xml:space="preserve"> </w:t>
      </w:r>
      <w:r>
        <w:t>explain.</w:t>
      </w:r>
    </w:p>
    <w:p w:rsidR="00AC683C" w:rsidRDefault="00FD2153">
      <w:pPr>
        <w:pStyle w:val="Pargrafdellista"/>
        <w:numPr>
          <w:ilvl w:val="1"/>
          <w:numId w:val="2"/>
        </w:numPr>
        <w:tabs>
          <w:tab w:val="left" w:pos="952"/>
          <w:tab w:val="left" w:pos="953"/>
        </w:tabs>
        <w:spacing w:before="1" w:line="252" w:lineRule="exact"/>
        <w:ind w:left="952"/>
      </w:pPr>
      <w:r>
        <w:t>Does t</w:t>
      </w:r>
      <w:r>
        <w:t>he repository have a plan for infrastructure development? If so, what is</w:t>
      </w:r>
      <w:r>
        <w:rPr>
          <w:spacing w:val="-16"/>
        </w:rPr>
        <w:t xml:space="preserve"> </w:t>
      </w:r>
      <w:r>
        <w:t>it?</w:t>
      </w:r>
    </w:p>
    <w:p w:rsidR="00AC683C" w:rsidRDefault="00FD2153">
      <w:pPr>
        <w:pStyle w:val="Pargrafdellista"/>
        <w:numPr>
          <w:ilvl w:val="1"/>
          <w:numId w:val="2"/>
        </w:numPr>
        <w:tabs>
          <w:tab w:val="left" w:pos="952"/>
          <w:tab w:val="left" w:pos="953"/>
        </w:tabs>
        <w:spacing w:line="252" w:lineRule="exact"/>
        <w:ind w:left="952"/>
      </w:pPr>
      <w:r>
        <w:t>Is a software inventory maintained and is system documentation</w:t>
      </w:r>
      <w:r>
        <w:rPr>
          <w:spacing w:val="-13"/>
        </w:rPr>
        <w:t xml:space="preserve"> </w:t>
      </w:r>
      <w:r>
        <w:t>available?</w:t>
      </w:r>
    </w:p>
    <w:p w:rsidR="00AC683C" w:rsidRDefault="00FD2153">
      <w:pPr>
        <w:pStyle w:val="Pargrafdellista"/>
        <w:numPr>
          <w:ilvl w:val="1"/>
          <w:numId w:val="2"/>
        </w:numPr>
        <w:tabs>
          <w:tab w:val="left" w:pos="952"/>
          <w:tab w:val="left" w:pos="953"/>
        </w:tabs>
        <w:spacing w:before="1" w:line="252" w:lineRule="exact"/>
        <w:ind w:left="952"/>
      </w:pPr>
      <w:r>
        <w:t>Is community-supported software in use? Please</w:t>
      </w:r>
      <w:r>
        <w:rPr>
          <w:spacing w:val="-7"/>
        </w:rPr>
        <w:t xml:space="preserve"> </w:t>
      </w:r>
      <w:r>
        <w:t>describe.</w:t>
      </w:r>
    </w:p>
    <w:p w:rsidR="00AC683C" w:rsidRDefault="00FD2153">
      <w:pPr>
        <w:pStyle w:val="Pargrafdellista"/>
        <w:numPr>
          <w:ilvl w:val="1"/>
          <w:numId w:val="2"/>
        </w:numPr>
        <w:tabs>
          <w:tab w:val="left" w:pos="952"/>
          <w:tab w:val="left" w:pos="953"/>
        </w:tabs>
        <w:ind w:left="952" w:right="367"/>
      </w:pPr>
      <w:r>
        <w:t>Are availability, bandwidth, and connectivity su</w:t>
      </w:r>
      <w:r>
        <w:t>fficient to meet the needs of the Designated Community?</w:t>
      </w:r>
    </w:p>
    <w:p w:rsidR="00AC683C" w:rsidRDefault="00FD2153">
      <w:pPr>
        <w:pStyle w:val="Pargrafdellista"/>
        <w:numPr>
          <w:ilvl w:val="1"/>
          <w:numId w:val="2"/>
        </w:numPr>
        <w:tabs>
          <w:tab w:val="left" w:pos="952"/>
          <w:tab w:val="left" w:pos="953"/>
        </w:tabs>
        <w:ind w:left="952" w:right="429"/>
      </w:pPr>
      <w:r>
        <w:t xml:space="preserve">Does the repository have a disaster plan and a business continuity plan? In particular, are procedures and arrangements in place to provide swift recovery or backup of essential services in the event </w:t>
      </w:r>
      <w:r>
        <w:t>of an outage? What are</w:t>
      </w:r>
      <w:r>
        <w:rPr>
          <w:spacing w:val="-6"/>
        </w:rPr>
        <w:t xml:space="preserve"> </w:t>
      </w:r>
      <w:r>
        <w:t>they?</w:t>
      </w:r>
    </w:p>
    <w:p w:rsidR="00AC683C" w:rsidRDefault="00FD2153">
      <w:pPr>
        <w:pStyle w:val="Textindependent"/>
        <w:spacing w:before="201"/>
        <w:ind w:right="257"/>
      </w:pPr>
      <w:r>
        <w:t>The governance aspects of business continuity, disaster planning, and succession planning should be covered in R3 (Continuity of access). Details on the storage process should be covered in R9</w:t>
      </w:r>
      <w:bookmarkStart w:id="79" w:name="Extended_Guidance_R15."/>
      <w:bookmarkEnd w:id="79"/>
      <w:r>
        <w:t xml:space="preserve"> (Documented storage procedures). S</w:t>
      </w:r>
      <w:r>
        <w:t>ecurity arrangements are covered in R16 (Security).</w:t>
      </w:r>
    </w:p>
    <w:p w:rsidR="00AC683C" w:rsidRDefault="000A2A0E">
      <w:pPr>
        <w:pStyle w:val="Ttol2"/>
        <w:spacing w:before="118"/>
      </w:pPr>
      <w:r>
        <w:rPr>
          <w:noProof/>
          <w:lang w:val="es-ES" w:eastAsia="es-ES" w:bidi="ar-SA"/>
        </w:rPr>
        <mc:AlternateContent>
          <mc:Choice Requires="wps">
            <w:drawing>
              <wp:anchor distT="0" distB="0" distL="0" distR="0" simplePos="0" relativeHeight="251691008" behindDoc="1" locked="0" layoutInCell="1" allowOverlap="1">
                <wp:simplePos x="0" y="0"/>
                <wp:positionH relativeFrom="page">
                  <wp:posOffset>647700</wp:posOffset>
                </wp:positionH>
                <wp:positionV relativeFrom="paragraph">
                  <wp:posOffset>332105</wp:posOffset>
                </wp:positionV>
                <wp:extent cx="6262370" cy="2026920"/>
                <wp:effectExtent l="0" t="0" r="0" b="0"/>
                <wp:wrapTopAndBottom/>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2370" cy="2026920"/>
                        </a:xfrm>
                        <a:prstGeom prst="rect">
                          <a:avLst/>
                        </a:prstGeom>
                        <a:noFill/>
                        <a:ln w="6096">
                          <a:solidFill>
                            <a:srgbClr val="2E75B5"/>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AC683C" w:rsidRDefault="00FD2153">
                            <w:pPr>
                              <w:pStyle w:val="Textindependent"/>
                              <w:spacing w:before="17"/>
                              <w:ind w:left="107" w:right="394"/>
                            </w:pPr>
                            <w:r>
                              <w:rPr>
                                <w:color w:val="2E75B5"/>
                              </w:rPr>
                              <w:t xml:space="preserve">The workflows and human actors providing repository services must be supported by a suitable technological infrastructure that meets the needs of the Designated Community and enables the repository to </w:t>
                            </w:r>
                            <w:r>
                              <w:rPr>
                                <w:color w:val="2E75B5"/>
                              </w:rPr>
                              <w:t>recover from short-term disasters. The reviewer is looking for evidence that the applicant understands the wider ecosystem of standards, tools, and technologies available for (research) data management and curation, and has selected options that align with</w:t>
                            </w:r>
                            <w:r>
                              <w:rPr>
                                <w:color w:val="2E75B5"/>
                              </w:rPr>
                              <w:t xml:space="preserve"> local requirements. If possible, this should be demonstrated by using a reference model.</w:t>
                            </w:r>
                          </w:p>
                          <w:p w:rsidR="00AC683C" w:rsidRDefault="00FD2153">
                            <w:pPr>
                              <w:pStyle w:val="Textindependent"/>
                              <w:spacing w:before="181"/>
                              <w:ind w:left="107" w:right="1006"/>
                            </w:pPr>
                            <w:r>
                              <w:rPr>
                                <w:color w:val="2E75B5"/>
                              </w:rPr>
                              <w:t>Examples of relevant standards include Spatial Data Infrastructure (SDI) standards, Open Geospatial Consortium (OGC), W3C, or ISO standards.</w:t>
                            </w:r>
                          </w:p>
                          <w:p w:rsidR="00AC683C" w:rsidRDefault="00FD2153">
                            <w:pPr>
                              <w:pStyle w:val="Textindependent"/>
                              <w:spacing w:before="180"/>
                              <w:ind w:left="107" w:right="493"/>
                            </w:pPr>
                            <w:r>
                              <w:rPr>
                                <w:color w:val="2E75B5"/>
                              </w:rPr>
                              <w:t>For real-time to near real-time data streams, is the provision of around-the-clock connectivity to public and private networks at a bandwidth that is sufficient to meet the global and/or regional responsibilities of the repository?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66" type="#_x0000_t202" style="position:absolute;left:0;text-align:left;margin-left:51pt;margin-top:26.15pt;width:493.1pt;height:159.6pt;z-index:-251625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" filled="f" strokecolor="#2e75b5" strokeweight=".48pt">
                <v:textbox inset="0,0,0,0">
                  <w:txbxContent>
                    <w:p w:rsidR="00AC683C" w:rsidRDefault="00FD2153">
                      <w:pPr>
                        <w:pStyle w:val="Textindependent"/>
                        <w:spacing w:before="17"/>
                        <w:ind w:left="107" w:right="394"/>
                      </w:pPr>
                      <w:r>
                        <w:rPr>
                          <w:color w:val="2E75B5"/>
                        </w:rPr>
                        <w:t xml:space="preserve">The workflows and human actors providing repository services must be supported by a suitable technological infrastructure that meets the needs of the Designated Community and enables the repository to </w:t>
                      </w:r>
                      <w:r>
                        <w:rPr>
                          <w:color w:val="2E75B5"/>
                        </w:rPr>
                        <w:t>recover from short-term disasters. The reviewer is looking for evidence that the applicant understands the wider ecosystem of standards, tools, and technologies available for (research) data management and curation, and has selected options that align with</w:t>
                      </w:r>
                      <w:r>
                        <w:rPr>
                          <w:color w:val="2E75B5"/>
                        </w:rPr>
                        <w:t xml:space="preserve"> local requirements. If possible, this should be demonstrated by using a reference model.</w:t>
                      </w:r>
                    </w:p>
                    <w:p w:rsidR="00AC683C" w:rsidRDefault="00FD2153">
                      <w:pPr>
                        <w:pStyle w:val="Textindependent"/>
                        <w:spacing w:before="181"/>
                        <w:ind w:left="107" w:right="1006"/>
                      </w:pPr>
                      <w:r>
                        <w:rPr>
                          <w:color w:val="2E75B5"/>
                        </w:rPr>
                        <w:t>Examples of relevant standards include Spatial Data Infrastructure (SDI) standards, Open Geospatial Consortium (OGC), W3C, or ISO standards.</w:t>
                      </w:r>
                    </w:p>
                    <w:p w:rsidR="00AC683C" w:rsidRDefault="00FD2153">
                      <w:pPr>
                        <w:pStyle w:val="Textindependent"/>
                        <w:spacing w:before="180"/>
                        <w:ind w:left="107" w:right="493"/>
                      </w:pPr>
                      <w:r>
                        <w:rPr>
                          <w:color w:val="2E75B5"/>
                        </w:rPr>
                        <w:t>For real-time to near real-time data streams, is the provision of around-the-clock connectivity to public and private networks at a bandwidth that is sufficient to meet the global and/or regional responsibilities of the repository?</w:t>
                      </w:r>
                    </w:p>
                  </w:txbxContent>
                </v:textbox>
                <w10:wrap type="topAndBottom" anchorx="page"/>
              </v:shape>
            </w:pict>
          </mc:Fallback>
        </mc:AlternateContent>
      </w:r>
      <w:r w:rsidR="00FD2153">
        <w:t>Extended Guidance R15.</w:t>
      </w:r>
    </w:p>
    <w:p w:rsidR="00AC683C" w:rsidRDefault="00AC683C">
      <w:pPr>
        <w:sectPr w:rsidR="00AC683C">
          <w:pgSz w:w="11910" w:h="16840"/>
          <w:pgMar w:top="1020" w:right="900" w:bottom="1060" w:left="900" w:header="724" w:footer="860" w:gutter="0"/>
          <w:cols w:space="720"/>
        </w:sectPr>
      </w:pPr>
    </w:p>
    <w:p w:rsidR="00AC683C" w:rsidRDefault="00FD2153">
      <w:pPr>
        <w:pStyle w:val="Pargrafdellista"/>
        <w:numPr>
          <w:ilvl w:val="0"/>
          <w:numId w:val="2"/>
        </w:numPr>
        <w:tabs>
          <w:tab w:val="left" w:pos="666"/>
        </w:tabs>
        <w:spacing w:before="91"/>
        <w:ind w:left="665" w:hanging="434"/>
        <w:rPr>
          <w:b/>
          <w:sz w:val="26"/>
        </w:rPr>
      </w:pPr>
      <w:bookmarkStart w:id="80" w:name="16._Security"/>
      <w:bookmarkStart w:id="81" w:name="_bookmark32"/>
      <w:bookmarkEnd w:id="80"/>
      <w:bookmarkEnd w:id="81"/>
      <w:r>
        <w:rPr>
          <w:b/>
          <w:sz w:val="26"/>
        </w:rPr>
        <w:lastRenderedPageBreak/>
        <w:t>Security</w:t>
      </w:r>
    </w:p>
    <w:p w:rsidR="00AC683C" w:rsidRDefault="00FD2153">
      <w:pPr>
        <w:pStyle w:val="Ttol3"/>
        <w:ind w:right="240"/>
      </w:pPr>
      <w:r>
        <w:rPr>
          <w:color w:val="ED7D31"/>
        </w:rPr>
        <w:t>R16. The technical infrastructure of the repository provides for protection of the facility and its data, products, services, and users.</w:t>
      </w:r>
    </w:p>
    <w:p w:rsidR="00AC683C" w:rsidRDefault="00FD2153">
      <w:pPr>
        <w:pStyle w:val="Textindependent"/>
        <w:spacing w:before="70"/>
      </w:pPr>
      <w:r>
        <w:t>Compliance Level:</w:t>
      </w:r>
    </w:p>
    <w:p w:rsidR="00AC683C" w:rsidRDefault="00FD2153">
      <w:pPr>
        <w:pStyle w:val="Ttol3"/>
        <w:spacing w:before="177"/>
        <w:rPr>
          <w:rFonts w:ascii="Arial"/>
        </w:rPr>
      </w:pPr>
      <w:r>
        <w:rPr>
          <w:rFonts w:ascii="Arial"/>
          <w:color w:val="538135"/>
        </w:rPr>
        <w:t>Response</w:t>
      </w:r>
    </w:p>
    <w:p w:rsidR="00AC683C" w:rsidRDefault="00FD2153">
      <w:pPr>
        <w:pStyle w:val="Ttol2"/>
      </w:pPr>
      <w:bookmarkStart w:id="82" w:name="Guidance:"/>
      <w:bookmarkEnd w:id="82"/>
      <w:r>
        <w:t>Guidance:</w:t>
      </w:r>
    </w:p>
    <w:p w:rsidR="00AC683C" w:rsidRDefault="00FD2153">
      <w:pPr>
        <w:pStyle w:val="Textindependent"/>
        <w:spacing w:before="122"/>
        <w:ind w:right="233"/>
      </w:pPr>
      <w:r>
        <w:t>The repository should analyze potential threats, asses</w:t>
      </w:r>
      <w:r>
        <w:t>s risks, and create a consistent security system. It should describe damage scenarios based on malicious actions, human error, or technical failure that pose a threat to the repository and its data, products, services, and users. It should measure the like</w:t>
      </w:r>
      <w:r>
        <w:t>lihood and impact of such scenarios, decide which risk levels are acceptable, and determine which measures should be taken to counter the threats to the repository and its Designated Community. This should be an ongoing</w:t>
      </w:r>
      <w:r>
        <w:rPr>
          <w:spacing w:val="-7"/>
        </w:rPr>
        <w:t xml:space="preserve"> </w:t>
      </w:r>
      <w:r>
        <w:t>process.</w:t>
      </w:r>
    </w:p>
    <w:p w:rsidR="00AC683C" w:rsidRDefault="00FD2153">
      <w:pPr>
        <w:pStyle w:val="Textindependent"/>
        <w:spacing w:before="179"/>
      </w:pPr>
      <w:r>
        <w:t>For this Requirement, pleas</w:t>
      </w:r>
      <w:r>
        <w:t>e describe:</w:t>
      </w:r>
    </w:p>
    <w:p w:rsidR="00AC683C" w:rsidRDefault="00FD2153">
      <w:pPr>
        <w:pStyle w:val="Pargrafdellista"/>
        <w:numPr>
          <w:ilvl w:val="1"/>
          <w:numId w:val="2"/>
        </w:numPr>
        <w:tabs>
          <w:tab w:val="left" w:pos="952"/>
          <w:tab w:val="left" w:pos="954"/>
        </w:tabs>
        <w:spacing w:before="182"/>
        <w:ind w:right="590"/>
      </w:pPr>
      <w:r>
        <w:t>Your IT security system, employees with roles related to security (e.g., security officers), and any risk analysis tools (e.g., DRAMBORA</w:t>
      </w:r>
      <w:hyperlink w:anchor="_bookmark33" w:history="1">
        <w:r>
          <w:rPr>
            <w:vertAlign w:val="superscript"/>
          </w:rPr>
          <w:t>2</w:t>
        </w:r>
      </w:hyperlink>
      <w:r>
        <w:t>) you</w:t>
      </w:r>
      <w:r>
        <w:rPr>
          <w:spacing w:val="2"/>
        </w:rPr>
        <w:t xml:space="preserve"> </w:t>
      </w:r>
      <w:r>
        <w:t>use.</w:t>
      </w:r>
    </w:p>
    <w:p w:rsidR="00AC683C" w:rsidRDefault="00FD2153">
      <w:pPr>
        <w:pStyle w:val="Pargrafdellista"/>
        <w:numPr>
          <w:ilvl w:val="1"/>
          <w:numId w:val="2"/>
        </w:numPr>
        <w:tabs>
          <w:tab w:val="left" w:pos="952"/>
          <w:tab w:val="left" w:pos="953"/>
        </w:tabs>
        <w:spacing w:line="251" w:lineRule="exact"/>
        <w:ind w:left="952"/>
      </w:pPr>
      <w:r>
        <w:t>What levels of security are required, and how these are</w:t>
      </w:r>
      <w:r>
        <w:rPr>
          <w:spacing w:val="-9"/>
        </w:rPr>
        <w:t xml:space="preserve"> </w:t>
      </w:r>
      <w:r>
        <w:t>supported</w:t>
      </w:r>
      <w:r>
        <w:t>.</w:t>
      </w:r>
    </w:p>
    <w:p w:rsidR="00AC683C" w:rsidRDefault="00FD2153">
      <w:pPr>
        <w:pStyle w:val="Pargrafdellista"/>
        <w:numPr>
          <w:ilvl w:val="1"/>
          <w:numId w:val="2"/>
        </w:numPr>
        <w:tabs>
          <w:tab w:val="left" w:pos="952"/>
          <w:tab w:val="left" w:pos="953"/>
        </w:tabs>
        <w:spacing w:before="1"/>
        <w:ind w:left="952" w:right="439"/>
      </w:pPr>
      <w:r>
        <w:t>Any authentication and authorization procedures employed to securely manage access to systems in use (e.g., Shibboleth,</w:t>
      </w:r>
      <w:r>
        <w:rPr>
          <w:spacing w:val="-6"/>
        </w:rPr>
        <w:t xml:space="preserve"> </w:t>
      </w:r>
      <w:r>
        <w:t>OpenAthens).</w:t>
      </w:r>
    </w:p>
    <w:p w:rsidR="00AC683C" w:rsidRDefault="00FD2153">
      <w:pPr>
        <w:pStyle w:val="Textindependent"/>
        <w:spacing w:before="200"/>
        <w:ind w:right="344"/>
      </w:pPr>
      <w:r>
        <w:t>The storage processes and technical infrastructure that utilize these security measures should be covered in R9 (Documented storage procedures) and R15 (Technical Infrastructure), respectively.</w:t>
      </w:r>
    </w:p>
    <w:p w:rsidR="00AC683C" w:rsidRDefault="000A2A0E">
      <w:pPr>
        <w:pStyle w:val="Ttol2"/>
        <w:spacing w:before="178"/>
      </w:pPr>
      <w:r>
        <w:rPr>
          <w:noProof/>
          <w:lang w:val="es-ES" w:eastAsia="es-ES" w:bidi="ar-SA"/>
        </w:rPr>
        <mc:AlternateContent>
          <mc:Choice Requires="wps">
            <w:drawing>
              <wp:anchor distT="0" distB="0" distL="0" distR="0" simplePos="0" relativeHeight="251692032" behindDoc="1" locked="0" layoutInCell="1" allowOverlap="1">
                <wp:simplePos x="0" y="0"/>
                <wp:positionH relativeFrom="page">
                  <wp:posOffset>647700</wp:posOffset>
                </wp:positionH>
                <wp:positionV relativeFrom="paragraph">
                  <wp:posOffset>370205</wp:posOffset>
                </wp:positionV>
                <wp:extent cx="6262370" cy="2141220"/>
                <wp:effectExtent l="0" t="0" r="0" b="0"/>
                <wp:wrapTopAndBottom/>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2370" cy="2141220"/>
                        </a:xfrm>
                        <a:prstGeom prst="rect">
                          <a:avLst/>
                        </a:prstGeom>
                        <a:noFill/>
                        <a:ln w="6096">
                          <a:solidFill>
                            <a:srgbClr val="2E75B5"/>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AC683C" w:rsidRDefault="00FD2153">
                            <w:pPr>
                              <w:pStyle w:val="Textindependent"/>
                              <w:spacing w:before="17"/>
                              <w:ind w:left="107" w:right="186"/>
                            </w:pPr>
                            <w:r>
                              <w:rPr>
                                <w:color w:val="2E75B5"/>
                              </w:rPr>
                              <w:t>The reviewer is looking for evidence that the applicant und</w:t>
                            </w:r>
                            <w:r>
                              <w:rPr>
                                <w:color w:val="2E75B5"/>
                              </w:rPr>
                              <w:t>erstands all technical risks applicable to the service provided to the Designated Community, as well as to the physical environment. The applicant should demonstrate that they have mechanisms in place to prevent, detect, and respond to a security incident.</w:t>
                            </w:r>
                          </w:p>
                          <w:p w:rsidR="00AC683C" w:rsidRDefault="00FD2153">
                            <w:pPr>
                              <w:pStyle w:val="Textindependent"/>
                              <w:spacing w:before="180"/>
                              <w:ind w:left="107" w:right="529"/>
                            </w:pPr>
                            <w:r>
                              <w:rPr>
                                <w:color w:val="2E75B5"/>
                              </w:rPr>
                              <w:t>In what way is the security of the technical infrastructure controlled by the repository or by their host/outsource institution? Who is in charge?</w:t>
                            </w:r>
                          </w:p>
                          <w:p w:rsidR="00AC683C" w:rsidRDefault="00FD2153">
                            <w:pPr>
                              <w:pStyle w:val="Textindependent"/>
                              <w:spacing w:before="181"/>
                              <w:ind w:left="107" w:right="198"/>
                            </w:pPr>
                            <w:r>
                              <w:rPr>
                                <w:color w:val="2E75B5"/>
                              </w:rPr>
                              <w:t>Are authentication and authorization procedures in place sufficient to guarantee the security of the data ho</w:t>
                            </w:r>
                            <w:r>
                              <w:rPr>
                                <w:color w:val="2E75B5"/>
                              </w:rPr>
                              <w:t>ldings at each stage of the workflow (e.g., by requiring two-factor authentication for sensitive data)?</w:t>
                            </w:r>
                          </w:p>
                          <w:p w:rsidR="00AC683C" w:rsidRDefault="00FD2153">
                            <w:pPr>
                              <w:pStyle w:val="Textindependent"/>
                              <w:spacing w:before="179"/>
                              <w:ind w:left="107" w:right="799"/>
                            </w:pPr>
                            <w:r>
                              <w:rPr>
                                <w:color w:val="2E75B5"/>
                              </w:rPr>
                              <w:t>Which company security policies are in place to govern the security of all systems, including network security, intrusion checks, physical facility secu</w:t>
                            </w:r>
                            <w:r>
                              <w:rPr>
                                <w:color w:val="2E75B5"/>
                              </w:rPr>
                              <w:t>rity, and password policy?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67" type="#_x0000_t202" style="position:absolute;left:0;text-align:left;margin-left:51pt;margin-top:29.15pt;width:493.1pt;height:168.6pt;z-index:-251624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" filled="f" strokecolor="#2e75b5" strokeweight=".48pt">
                <v:textbox inset="0,0,0,0">
                  <w:txbxContent>
                    <w:p w:rsidR="00AC683C" w:rsidRDefault="00FD2153">
                      <w:pPr>
                        <w:pStyle w:val="Textindependent"/>
                        <w:spacing w:before="17"/>
                        <w:ind w:left="107" w:right="186"/>
                      </w:pPr>
                      <w:r>
                        <w:rPr>
                          <w:color w:val="2E75B5"/>
                        </w:rPr>
                        <w:t>The reviewer is looking for evidence that the applicant und</w:t>
                      </w:r>
                      <w:r>
                        <w:rPr>
                          <w:color w:val="2E75B5"/>
                        </w:rPr>
                        <w:t>erstands all technical risks applicable to the service provided to the Designated Community, as well as to the physical environment. The applicant should demonstrate that they have mechanisms in place to prevent, detect, and respond to a security incident.</w:t>
                      </w:r>
                    </w:p>
                    <w:p w:rsidR="00AC683C" w:rsidRDefault="00FD2153">
                      <w:pPr>
                        <w:pStyle w:val="Textindependent"/>
                        <w:spacing w:before="180"/>
                        <w:ind w:left="107" w:right="529"/>
                      </w:pPr>
                      <w:r>
                        <w:rPr>
                          <w:color w:val="2E75B5"/>
                        </w:rPr>
                        <w:t>In what way is the security of the technical infrastructure controlled by the repository or by their host/outsource institution? Who is in charge?</w:t>
                      </w:r>
                    </w:p>
                    <w:p w:rsidR="00AC683C" w:rsidRDefault="00FD2153">
                      <w:pPr>
                        <w:pStyle w:val="Textindependent"/>
                        <w:spacing w:before="181"/>
                        <w:ind w:left="107" w:right="198"/>
                      </w:pPr>
                      <w:r>
                        <w:rPr>
                          <w:color w:val="2E75B5"/>
                        </w:rPr>
                        <w:t>Are authentication and authorization procedures in place sufficient to guarantee the security of the data ho</w:t>
                      </w:r>
                      <w:r>
                        <w:rPr>
                          <w:color w:val="2E75B5"/>
                        </w:rPr>
                        <w:t>ldings at each stage of the workflow (e.g., by requiring two-factor authentication for sensitive data)?</w:t>
                      </w:r>
                    </w:p>
                    <w:p w:rsidR="00AC683C" w:rsidRDefault="00FD2153">
                      <w:pPr>
                        <w:pStyle w:val="Textindependent"/>
                        <w:spacing w:before="179"/>
                        <w:ind w:left="107" w:right="799"/>
                      </w:pPr>
                      <w:r>
                        <w:rPr>
                          <w:color w:val="2E75B5"/>
                        </w:rPr>
                        <w:t>Which company security policies are in place to govern the security of all systems, including network security, intrusion checks, physical facility secu</w:t>
                      </w:r>
                      <w:r>
                        <w:rPr>
                          <w:color w:val="2E75B5"/>
                        </w:rPr>
                        <w:t>rity, and password policy?</w:t>
                      </w:r>
                    </w:p>
                  </w:txbxContent>
                </v:textbox>
                <w10:wrap type="topAndBottom" anchorx="page"/>
              </v:shape>
            </w:pict>
          </mc:Fallback>
        </mc:AlternateContent>
      </w:r>
      <w:bookmarkStart w:id="83" w:name="Extended_Guidance_R16."/>
      <w:bookmarkEnd w:id="83"/>
      <w:r w:rsidR="00FD2153">
        <w:t>Extended Guidance R16.</w:t>
      </w:r>
    </w:p>
    <w:p w:rsidR="00AC683C" w:rsidRDefault="00AC683C">
      <w:pPr>
        <w:pStyle w:val="Textindependent"/>
        <w:ind w:left="0"/>
        <w:rPr>
          <w:b/>
          <w:sz w:val="20"/>
        </w:rPr>
      </w:pPr>
    </w:p>
    <w:p w:rsidR="00AC683C" w:rsidRDefault="00AC683C">
      <w:pPr>
        <w:pStyle w:val="Textindependent"/>
        <w:ind w:left="0"/>
        <w:rPr>
          <w:b/>
          <w:sz w:val="20"/>
        </w:rPr>
      </w:pPr>
    </w:p>
    <w:p w:rsidR="00AC683C" w:rsidRDefault="00AC683C">
      <w:pPr>
        <w:pStyle w:val="Textindependent"/>
        <w:ind w:left="0"/>
        <w:rPr>
          <w:b/>
          <w:sz w:val="20"/>
        </w:rPr>
      </w:pPr>
    </w:p>
    <w:p w:rsidR="00AC683C" w:rsidRDefault="00AC683C">
      <w:pPr>
        <w:pStyle w:val="Textindependent"/>
        <w:ind w:left="0"/>
        <w:rPr>
          <w:b/>
          <w:sz w:val="20"/>
        </w:rPr>
      </w:pPr>
    </w:p>
    <w:p w:rsidR="00AC683C" w:rsidRDefault="00AC683C">
      <w:pPr>
        <w:pStyle w:val="Textindependent"/>
        <w:ind w:left="0"/>
        <w:rPr>
          <w:b/>
          <w:sz w:val="20"/>
        </w:rPr>
      </w:pPr>
    </w:p>
    <w:p w:rsidR="00AC683C" w:rsidRDefault="00AC683C">
      <w:pPr>
        <w:pStyle w:val="Textindependent"/>
        <w:ind w:left="0"/>
        <w:rPr>
          <w:b/>
          <w:sz w:val="20"/>
        </w:rPr>
      </w:pPr>
    </w:p>
    <w:p w:rsidR="00AC683C" w:rsidRDefault="00AC683C">
      <w:pPr>
        <w:pStyle w:val="Textindependent"/>
        <w:ind w:left="0"/>
        <w:rPr>
          <w:b/>
          <w:sz w:val="20"/>
        </w:rPr>
      </w:pPr>
    </w:p>
    <w:p w:rsidR="00AC683C" w:rsidRDefault="00AC683C">
      <w:pPr>
        <w:pStyle w:val="Textindependent"/>
        <w:ind w:left="0"/>
        <w:rPr>
          <w:b/>
          <w:sz w:val="20"/>
        </w:rPr>
      </w:pPr>
    </w:p>
    <w:p w:rsidR="00AC683C" w:rsidRDefault="00AC683C">
      <w:pPr>
        <w:pStyle w:val="Textindependent"/>
        <w:ind w:left="0"/>
        <w:rPr>
          <w:b/>
          <w:sz w:val="20"/>
        </w:rPr>
      </w:pPr>
    </w:p>
    <w:p w:rsidR="00AC683C" w:rsidRDefault="00AC683C">
      <w:pPr>
        <w:pStyle w:val="Textindependent"/>
        <w:ind w:left="0"/>
        <w:rPr>
          <w:b/>
          <w:sz w:val="20"/>
        </w:rPr>
      </w:pPr>
    </w:p>
    <w:p w:rsidR="00AC683C" w:rsidRDefault="00AC683C">
      <w:pPr>
        <w:pStyle w:val="Textindependent"/>
        <w:ind w:left="0"/>
        <w:rPr>
          <w:b/>
          <w:sz w:val="20"/>
        </w:rPr>
      </w:pPr>
    </w:p>
    <w:p w:rsidR="00AC683C" w:rsidRDefault="00AC683C">
      <w:pPr>
        <w:pStyle w:val="Textindependent"/>
        <w:ind w:left="0"/>
        <w:rPr>
          <w:b/>
          <w:sz w:val="20"/>
        </w:rPr>
      </w:pPr>
    </w:p>
    <w:p w:rsidR="00AC683C" w:rsidRDefault="00AC683C">
      <w:pPr>
        <w:pStyle w:val="Textindependent"/>
        <w:ind w:left="0"/>
        <w:rPr>
          <w:b/>
          <w:sz w:val="20"/>
        </w:rPr>
      </w:pPr>
    </w:p>
    <w:p w:rsidR="00AC683C" w:rsidRDefault="00AC683C">
      <w:pPr>
        <w:pStyle w:val="Textindependent"/>
        <w:ind w:left="0"/>
        <w:rPr>
          <w:b/>
          <w:sz w:val="20"/>
        </w:rPr>
      </w:pPr>
    </w:p>
    <w:p w:rsidR="00AC683C" w:rsidRDefault="00AC683C">
      <w:pPr>
        <w:pStyle w:val="Textindependent"/>
        <w:ind w:left="0"/>
        <w:rPr>
          <w:b/>
          <w:sz w:val="20"/>
        </w:rPr>
      </w:pPr>
    </w:p>
    <w:p w:rsidR="00AC683C" w:rsidRDefault="000A2A0E">
      <w:pPr>
        <w:pStyle w:val="Textindependent"/>
        <w:spacing w:before="2"/>
        <w:ind w:left="0"/>
        <w:rPr>
          <w:b/>
          <w:sz w:val="24"/>
        </w:rPr>
      </w:pPr>
      <w:r>
        <w:rPr>
          <w:noProof/>
          <w:lang w:val="es-ES" w:eastAsia="es-ES" w:bidi="ar-SA"/>
        </w:rPr>
        <mc:AlternateContent>
          <mc:Choice Requires="wps">
            <w:drawing>
              <wp:anchor distT="0" distB="0" distL="0" distR="0" simplePos="0" relativeHeight="251693056" behindDoc="1" locked="0" layoutInCell="1" allowOverlap="1">
                <wp:simplePos x="0" y="0"/>
                <wp:positionH relativeFrom="page">
                  <wp:posOffset>719455</wp:posOffset>
                </wp:positionH>
                <wp:positionV relativeFrom="paragraph">
                  <wp:posOffset>205105</wp:posOffset>
                </wp:positionV>
                <wp:extent cx="1828800" cy="0"/>
                <wp:effectExtent l="0" t="0" r="0" b="0"/>
                <wp:wrapTopAndBottom/>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47A914" id="Line 2" o:spid="_x0000_s1026" style="position:absolute;z-index:-251623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6.15pt" to="200.6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" strokeweight=".48pt">
                <w10:wrap type="topAndBottom" anchorx="page"/>
              </v:line>
            </w:pict>
          </mc:Fallback>
        </mc:AlternateContent>
      </w:r>
    </w:p>
    <w:p w:rsidR="00AC683C" w:rsidRDefault="00FD2153">
      <w:pPr>
        <w:pStyle w:val="Textindependent"/>
        <w:spacing w:before="37"/>
      </w:pPr>
      <w:bookmarkStart w:id="84" w:name="_bookmark33"/>
      <w:bookmarkEnd w:id="84"/>
      <w:r>
        <w:rPr>
          <w:position w:val="10"/>
          <w:sz w:val="13"/>
        </w:rPr>
        <w:t xml:space="preserve">2 </w:t>
      </w:r>
      <w:r>
        <w:t>https://</w:t>
      </w:r>
      <w:hyperlink r:id="rId20">
        <w:r>
          <w:t>www.repositoryaudit.eu/</w:t>
        </w:r>
      </w:hyperlink>
    </w:p>
    <w:p w:rsidR="00AC683C" w:rsidRDefault="00AC683C">
      <w:pPr>
        <w:sectPr w:rsidR="00AC683C">
          <w:pgSz w:w="11910" w:h="16840"/>
          <w:pgMar w:top="1020" w:right="900" w:bottom="1060" w:left="900" w:header="724" w:footer="860" w:gutter="0"/>
          <w:cols w:space="720"/>
        </w:sectPr>
      </w:pPr>
    </w:p>
    <w:p w:rsidR="00AC683C" w:rsidRDefault="00FD2153">
      <w:pPr>
        <w:pStyle w:val="Ttol1"/>
        <w:spacing w:before="90"/>
      </w:pPr>
      <w:bookmarkStart w:id="85" w:name="Applicant_Feedback"/>
      <w:bookmarkStart w:id="86" w:name="_bookmark34"/>
      <w:bookmarkEnd w:id="85"/>
      <w:bookmarkEnd w:id="86"/>
      <w:r>
        <w:rPr>
          <w:color w:val="ED7D31"/>
        </w:rPr>
        <w:lastRenderedPageBreak/>
        <w:t>Applicant Feedback</w:t>
      </w:r>
    </w:p>
    <w:p w:rsidR="00AC683C" w:rsidRDefault="00FD2153">
      <w:pPr>
        <w:spacing w:before="182"/>
        <w:ind w:left="232"/>
        <w:rPr>
          <w:b/>
          <w:sz w:val="28"/>
        </w:rPr>
      </w:pPr>
      <w:bookmarkStart w:id="87" w:name="Comments/feedback"/>
      <w:bookmarkStart w:id="88" w:name="_bookmark35"/>
      <w:bookmarkEnd w:id="87"/>
      <w:bookmarkEnd w:id="88"/>
      <w:r>
        <w:rPr>
          <w:b/>
          <w:sz w:val="28"/>
        </w:rPr>
        <w:t>Comments/feedback</w:t>
      </w:r>
    </w:p>
    <w:p w:rsidR="00AC683C" w:rsidRDefault="00FD2153">
      <w:pPr>
        <w:pStyle w:val="Textindependent"/>
        <w:spacing w:before="121"/>
        <w:ind w:right="402"/>
        <w:jc w:val="both"/>
      </w:pPr>
      <w:r>
        <w:t xml:space="preserve">These Requirements are not seen as final, and we value your input to improve the CoreTrustSeal certification procedure. Any comments on the quality of the Requirements, their relevance to your organization, or any other contribution, will be considered as </w:t>
      </w:r>
      <w:r>
        <w:t>part of future iterations.</w:t>
      </w:r>
    </w:p>
    <w:p w:rsidR="00AC683C" w:rsidRDefault="00FD2153">
      <w:pPr>
        <w:pStyle w:val="Ttol3"/>
        <w:spacing w:before="179"/>
        <w:rPr>
          <w:rFonts w:ascii="Arial"/>
        </w:rPr>
      </w:pPr>
      <w:r>
        <w:rPr>
          <w:rFonts w:ascii="Arial"/>
          <w:color w:val="538135"/>
        </w:rPr>
        <w:t>Response</w:t>
      </w:r>
    </w:p>
    <w:sectPr w:rsidR="00AC683C">
      <w:pgSz w:w="11910" w:h="16840"/>
      <w:pgMar w:top="1020" w:right="900" w:bottom="1060" w:left="900" w:header="724" w:footer="8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2153" w:rsidRDefault="00FD2153">
      <w:r>
        <w:separator/>
      </w:r>
    </w:p>
  </w:endnote>
  <w:endnote w:type="continuationSeparator" w:id="0">
    <w:p w:rsidR="00FD2153" w:rsidRDefault="00FD2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Verdana">
    <w:altName w:val="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83C" w:rsidRDefault="000A2A0E">
    <w:pPr>
      <w:pStyle w:val="Textindependent"/>
      <w:spacing w:line="14" w:lineRule="auto"/>
      <w:ind w:left="0"/>
      <w:rPr>
        <w:sz w:val="20"/>
      </w:rPr>
    </w:pPr>
    <w:r>
      <w:rPr>
        <w:noProof/>
        <w:lang w:val="es-ES" w:eastAsia="es-ES" w:bidi="ar-SA"/>
      </w:rPr>
      <mc:AlternateContent>
        <mc:Choice Requires="wps">
          <w:drawing>
            <wp:anchor distT="0" distB="0" distL="114300" distR="114300" simplePos="0" relativeHeight="250783744" behindDoc="1" locked="0" layoutInCell="1" allowOverlap="1">
              <wp:simplePos x="0" y="0"/>
              <wp:positionH relativeFrom="page">
                <wp:posOffset>6194425</wp:posOffset>
              </wp:positionH>
              <wp:positionV relativeFrom="page">
                <wp:posOffset>10005060</wp:posOffset>
              </wp:positionV>
              <wp:extent cx="659765" cy="1397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7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683C" w:rsidRDefault="00FD2153">
                          <w:pPr>
                            <w:spacing w:before="15"/>
                            <w:ind w:left="20"/>
                            <w:rPr>
                              <w:sz w:val="16"/>
                            </w:rPr>
                          </w:pPr>
                          <w:r>
                            <w:rPr>
                              <w:sz w:val="16"/>
                            </w:rPr>
                            <w:t xml:space="preserve">Page </w:t>
                          </w:r>
                          <w:r>
                            <w:fldChar w:fldCharType="begin"/>
                          </w:r>
                          <w:r>
                            <w:rPr>
                              <w:sz w:val="16"/>
                            </w:rPr>
                            <w:instrText xml:space="preserve"> PAGE </w:instrText>
                          </w:r>
                          <w:r>
                            <w:fldChar w:fldCharType="separate"/>
                          </w:r>
                          <w:r w:rsidR="000A2A0E">
                            <w:rPr>
                              <w:noProof/>
                              <w:sz w:val="16"/>
                            </w:rPr>
                            <w:t>2</w:t>
                          </w:r>
                          <w:r>
                            <w:fldChar w:fldCharType="end"/>
                          </w:r>
                          <w:r>
                            <w:rPr>
                              <w:sz w:val="16"/>
                            </w:rPr>
                            <w:t xml:space="preserve"> of 26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68" type="#_x0000_t202" style="position:absolute;margin-left:487.75pt;margin-top:787.8pt;width:51.95pt;height:11pt;z-index:-252532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" filled="f" stroked="f">
              <v:textbox inset="0,0,0,0">
                <w:txbxContent>
                  <w:p w:rsidR="00AC683C" w:rsidRDefault="00FD2153">
                    <w:pPr>
                      <w:spacing w:before="15"/>
                      <w:ind w:left="20"/>
                      <w:rPr>
                        <w:sz w:val="16"/>
                      </w:rPr>
                    </w:pPr>
                    <w:r>
                      <w:rPr>
                        <w:sz w:val="16"/>
                      </w:rPr>
                      <w:t xml:space="preserve">Page </w:t>
                    </w:r>
                    <w:r>
                      <w:fldChar w:fldCharType="begin"/>
                    </w:r>
                    <w:r>
                      <w:rPr>
                        <w:sz w:val="16"/>
                      </w:rPr>
                      <w:instrText xml:space="preserve"> PAGE </w:instrText>
                    </w:r>
                    <w:r>
                      <w:fldChar w:fldCharType="separate"/>
                    </w:r>
                    <w:r w:rsidR="000A2A0E">
                      <w:rPr>
                        <w:noProof/>
                        <w:sz w:val="16"/>
                      </w:rPr>
                      <w:t>2</w:t>
                    </w:r>
                    <w:r>
                      <w:fldChar w:fldCharType="end"/>
                    </w:r>
                    <w:r>
                      <w:rPr>
                        <w:sz w:val="16"/>
                      </w:rPr>
                      <w:t xml:space="preserve"> of 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2153" w:rsidRDefault="00FD2153">
      <w:r>
        <w:separator/>
      </w:r>
    </w:p>
  </w:footnote>
  <w:footnote w:type="continuationSeparator" w:id="0">
    <w:p w:rsidR="00FD2153" w:rsidRDefault="00FD2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83C" w:rsidRDefault="00AC683C">
    <w:pPr>
      <w:pStyle w:val="Textindependent"/>
      <w:spacing w:line="14" w:lineRule="auto"/>
      <w:ind w:left="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E32D55"/>
    <w:multiLevelType w:val="hybridMultilevel"/>
    <w:tmpl w:val="A3487B76"/>
    <w:lvl w:ilvl="0" w:tplc="D4B23A96">
      <w:start w:val="3"/>
      <w:numFmt w:val="decimal"/>
      <w:lvlText w:val="%1"/>
      <w:lvlJc w:val="left"/>
      <w:pPr>
        <w:ind w:left="417" w:hanging="185"/>
        <w:jc w:val="left"/>
      </w:pPr>
      <w:rPr>
        <w:rFonts w:ascii="Arial" w:eastAsia="Arial" w:hAnsi="Arial" w:cs="Arial" w:hint="default"/>
        <w:w w:val="100"/>
        <w:sz w:val="22"/>
        <w:szCs w:val="22"/>
        <w:lang w:val="en-US" w:eastAsia="en-US" w:bidi="en-US"/>
      </w:rPr>
    </w:lvl>
    <w:lvl w:ilvl="1" w:tplc="04440584">
      <w:numFmt w:val="bullet"/>
      <w:lvlText w:val="●"/>
      <w:lvlJc w:val="left"/>
      <w:pPr>
        <w:ind w:left="952" w:hanging="361"/>
      </w:pPr>
      <w:rPr>
        <w:rFonts w:ascii="Arial" w:eastAsia="Arial" w:hAnsi="Arial" w:cs="Arial" w:hint="default"/>
        <w:w w:val="100"/>
        <w:sz w:val="22"/>
        <w:szCs w:val="22"/>
        <w:lang w:val="en-US" w:eastAsia="en-US" w:bidi="en-US"/>
      </w:rPr>
    </w:lvl>
    <w:lvl w:ilvl="2" w:tplc="03A2D074">
      <w:numFmt w:val="bullet"/>
      <w:lvlText w:val="•"/>
      <w:lvlJc w:val="left"/>
      <w:pPr>
        <w:ind w:left="1976" w:hanging="361"/>
      </w:pPr>
      <w:rPr>
        <w:rFonts w:hint="default"/>
        <w:lang w:val="en-US" w:eastAsia="en-US" w:bidi="en-US"/>
      </w:rPr>
    </w:lvl>
    <w:lvl w:ilvl="3" w:tplc="6CC4FA42">
      <w:numFmt w:val="bullet"/>
      <w:lvlText w:val="•"/>
      <w:lvlJc w:val="left"/>
      <w:pPr>
        <w:ind w:left="2992" w:hanging="361"/>
      </w:pPr>
      <w:rPr>
        <w:rFonts w:hint="default"/>
        <w:lang w:val="en-US" w:eastAsia="en-US" w:bidi="en-US"/>
      </w:rPr>
    </w:lvl>
    <w:lvl w:ilvl="4" w:tplc="71983F66">
      <w:numFmt w:val="bullet"/>
      <w:lvlText w:val="•"/>
      <w:lvlJc w:val="left"/>
      <w:pPr>
        <w:ind w:left="4008" w:hanging="361"/>
      </w:pPr>
      <w:rPr>
        <w:rFonts w:hint="default"/>
        <w:lang w:val="en-US" w:eastAsia="en-US" w:bidi="en-US"/>
      </w:rPr>
    </w:lvl>
    <w:lvl w:ilvl="5" w:tplc="8B1C2310">
      <w:numFmt w:val="bullet"/>
      <w:lvlText w:val="•"/>
      <w:lvlJc w:val="left"/>
      <w:pPr>
        <w:ind w:left="5024" w:hanging="361"/>
      </w:pPr>
      <w:rPr>
        <w:rFonts w:hint="default"/>
        <w:lang w:val="en-US" w:eastAsia="en-US" w:bidi="en-US"/>
      </w:rPr>
    </w:lvl>
    <w:lvl w:ilvl="6" w:tplc="8A90180E">
      <w:numFmt w:val="bullet"/>
      <w:lvlText w:val="•"/>
      <w:lvlJc w:val="left"/>
      <w:pPr>
        <w:ind w:left="6040" w:hanging="361"/>
      </w:pPr>
      <w:rPr>
        <w:rFonts w:hint="default"/>
        <w:lang w:val="en-US" w:eastAsia="en-US" w:bidi="en-US"/>
      </w:rPr>
    </w:lvl>
    <w:lvl w:ilvl="7" w:tplc="19B6CD88">
      <w:numFmt w:val="bullet"/>
      <w:lvlText w:val="•"/>
      <w:lvlJc w:val="left"/>
      <w:pPr>
        <w:ind w:left="7056" w:hanging="361"/>
      </w:pPr>
      <w:rPr>
        <w:rFonts w:hint="default"/>
        <w:lang w:val="en-US" w:eastAsia="en-US" w:bidi="en-US"/>
      </w:rPr>
    </w:lvl>
    <w:lvl w:ilvl="8" w:tplc="871E0D8C">
      <w:numFmt w:val="bullet"/>
      <w:lvlText w:val="•"/>
      <w:lvlJc w:val="left"/>
      <w:pPr>
        <w:ind w:left="8072" w:hanging="361"/>
      </w:pPr>
      <w:rPr>
        <w:rFonts w:hint="default"/>
        <w:lang w:val="en-US" w:eastAsia="en-US" w:bidi="en-US"/>
      </w:rPr>
    </w:lvl>
  </w:abstractNum>
  <w:abstractNum w:abstractNumId="1" w15:restartNumberingAfterBreak="0">
    <w:nsid w:val="4CAD3DE3"/>
    <w:multiLevelType w:val="hybridMultilevel"/>
    <w:tmpl w:val="ED72B9D2"/>
    <w:lvl w:ilvl="0" w:tplc="619AD434">
      <w:start w:val="1"/>
      <w:numFmt w:val="upperLetter"/>
      <w:lvlText w:val="%1."/>
      <w:lvlJc w:val="left"/>
      <w:pPr>
        <w:ind w:left="940" w:hanging="284"/>
        <w:jc w:val="left"/>
      </w:pPr>
      <w:rPr>
        <w:rFonts w:ascii="Arial" w:eastAsia="Arial" w:hAnsi="Arial" w:cs="Arial" w:hint="default"/>
        <w:b/>
        <w:bCs/>
        <w:spacing w:val="-5"/>
        <w:w w:val="99"/>
        <w:sz w:val="20"/>
        <w:szCs w:val="20"/>
        <w:lang w:val="en-US" w:eastAsia="en-US" w:bidi="en-US"/>
      </w:rPr>
    </w:lvl>
    <w:lvl w:ilvl="1" w:tplc="4BC8CB02">
      <w:numFmt w:val="bullet"/>
      <w:lvlText w:val="•"/>
      <w:lvlJc w:val="left"/>
      <w:pPr>
        <w:ind w:left="1856" w:hanging="284"/>
      </w:pPr>
      <w:rPr>
        <w:rFonts w:hint="default"/>
        <w:lang w:val="en-US" w:eastAsia="en-US" w:bidi="en-US"/>
      </w:rPr>
    </w:lvl>
    <w:lvl w:ilvl="2" w:tplc="B68CB8FC">
      <w:numFmt w:val="bullet"/>
      <w:lvlText w:val="•"/>
      <w:lvlJc w:val="left"/>
      <w:pPr>
        <w:ind w:left="2772" w:hanging="284"/>
      </w:pPr>
      <w:rPr>
        <w:rFonts w:hint="default"/>
        <w:lang w:val="en-US" w:eastAsia="en-US" w:bidi="en-US"/>
      </w:rPr>
    </w:lvl>
    <w:lvl w:ilvl="3" w:tplc="13749458">
      <w:numFmt w:val="bullet"/>
      <w:lvlText w:val="•"/>
      <w:lvlJc w:val="left"/>
      <w:pPr>
        <w:ind w:left="3689" w:hanging="284"/>
      </w:pPr>
      <w:rPr>
        <w:rFonts w:hint="default"/>
        <w:lang w:val="en-US" w:eastAsia="en-US" w:bidi="en-US"/>
      </w:rPr>
    </w:lvl>
    <w:lvl w:ilvl="4" w:tplc="69B6D288">
      <w:numFmt w:val="bullet"/>
      <w:lvlText w:val="•"/>
      <w:lvlJc w:val="left"/>
      <w:pPr>
        <w:ind w:left="4605" w:hanging="284"/>
      </w:pPr>
      <w:rPr>
        <w:rFonts w:hint="default"/>
        <w:lang w:val="en-US" w:eastAsia="en-US" w:bidi="en-US"/>
      </w:rPr>
    </w:lvl>
    <w:lvl w:ilvl="5" w:tplc="31BA0542">
      <w:numFmt w:val="bullet"/>
      <w:lvlText w:val="•"/>
      <w:lvlJc w:val="left"/>
      <w:pPr>
        <w:ind w:left="5522" w:hanging="284"/>
      </w:pPr>
      <w:rPr>
        <w:rFonts w:hint="default"/>
        <w:lang w:val="en-US" w:eastAsia="en-US" w:bidi="en-US"/>
      </w:rPr>
    </w:lvl>
    <w:lvl w:ilvl="6" w:tplc="166A3F66">
      <w:numFmt w:val="bullet"/>
      <w:lvlText w:val="•"/>
      <w:lvlJc w:val="left"/>
      <w:pPr>
        <w:ind w:left="6438" w:hanging="284"/>
      </w:pPr>
      <w:rPr>
        <w:rFonts w:hint="default"/>
        <w:lang w:val="en-US" w:eastAsia="en-US" w:bidi="en-US"/>
      </w:rPr>
    </w:lvl>
    <w:lvl w:ilvl="7" w:tplc="9020949E">
      <w:numFmt w:val="bullet"/>
      <w:lvlText w:val="•"/>
      <w:lvlJc w:val="left"/>
      <w:pPr>
        <w:ind w:left="7354" w:hanging="284"/>
      </w:pPr>
      <w:rPr>
        <w:rFonts w:hint="default"/>
        <w:lang w:val="en-US" w:eastAsia="en-US" w:bidi="en-US"/>
      </w:rPr>
    </w:lvl>
    <w:lvl w:ilvl="8" w:tplc="10643990">
      <w:numFmt w:val="bullet"/>
      <w:lvlText w:val="•"/>
      <w:lvlJc w:val="left"/>
      <w:pPr>
        <w:ind w:left="8271" w:hanging="284"/>
      </w:pPr>
      <w:rPr>
        <w:rFonts w:hint="default"/>
        <w:lang w:val="en-US" w:eastAsia="en-US" w:bidi="en-US"/>
      </w:rPr>
    </w:lvl>
  </w:abstractNum>
  <w:abstractNum w:abstractNumId="2" w15:restartNumberingAfterBreak="0">
    <w:nsid w:val="5EC57385"/>
    <w:multiLevelType w:val="hybridMultilevel"/>
    <w:tmpl w:val="212E23E0"/>
    <w:lvl w:ilvl="0" w:tplc="AE9C20A4">
      <w:start w:val="1"/>
      <w:numFmt w:val="decimal"/>
      <w:lvlText w:val="(%1)"/>
      <w:lvlJc w:val="left"/>
      <w:pPr>
        <w:ind w:left="232" w:hanging="332"/>
        <w:jc w:val="left"/>
      </w:pPr>
      <w:rPr>
        <w:rFonts w:ascii="Arial" w:eastAsia="Arial" w:hAnsi="Arial" w:cs="Arial" w:hint="default"/>
        <w:b/>
        <w:bCs/>
        <w:i/>
        <w:spacing w:val="-1"/>
        <w:w w:val="100"/>
        <w:sz w:val="22"/>
        <w:szCs w:val="22"/>
        <w:lang w:val="en-US" w:eastAsia="en-US" w:bidi="en-US"/>
      </w:rPr>
    </w:lvl>
    <w:lvl w:ilvl="1" w:tplc="B5EE1B5E">
      <w:numFmt w:val="bullet"/>
      <w:lvlText w:val="●"/>
      <w:lvlJc w:val="left"/>
      <w:pPr>
        <w:ind w:left="953" w:hanging="361"/>
      </w:pPr>
      <w:rPr>
        <w:rFonts w:ascii="Arial" w:eastAsia="Arial" w:hAnsi="Arial" w:cs="Arial" w:hint="default"/>
        <w:w w:val="100"/>
        <w:sz w:val="22"/>
        <w:szCs w:val="22"/>
        <w:lang w:val="en-US" w:eastAsia="en-US" w:bidi="en-US"/>
      </w:rPr>
    </w:lvl>
    <w:lvl w:ilvl="2" w:tplc="6A8859AC">
      <w:numFmt w:val="bullet"/>
      <w:lvlText w:val="•"/>
      <w:lvlJc w:val="left"/>
      <w:pPr>
        <w:ind w:left="1976" w:hanging="361"/>
      </w:pPr>
      <w:rPr>
        <w:rFonts w:hint="default"/>
        <w:lang w:val="en-US" w:eastAsia="en-US" w:bidi="en-US"/>
      </w:rPr>
    </w:lvl>
    <w:lvl w:ilvl="3" w:tplc="6FCEBB0E">
      <w:numFmt w:val="bullet"/>
      <w:lvlText w:val="•"/>
      <w:lvlJc w:val="left"/>
      <w:pPr>
        <w:ind w:left="2992" w:hanging="361"/>
      </w:pPr>
      <w:rPr>
        <w:rFonts w:hint="default"/>
        <w:lang w:val="en-US" w:eastAsia="en-US" w:bidi="en-US"/>
      </w:rPr>
    </w:lvl>
    <w:lvl w:ilvl="4" w:tplc="8876794C">
      <w:numFmt w:val="bullet"/>
      <w:lvlText w:val="•"/>
      <w:lvlJc w:val="left"/>
      <w:pPr>
        <w:ind w:left="4008" w:hanging="361"/>
      </w:pPr>
      <w:rPr>
        <w:rFonts w:hint="default"/>
        <w:lang w:val="en-US" w:eastAsia="en-US" w:bidi="en-US"/>
      </w:rPr>
    </w:lvl>
    <w:lvl w:ilvl="5" w:tplc="C4A6B220">
      <w:numFmt w:val="bullet"/>
      <w:lvlText w:val="•"/>
      <w:lvlJc w:val="left"/>
      <w:pPr>
        <w:ind w:left="5024" w:hanging="361"/>
      </w:pPr>
      <w:rPr>
        <w:rFonts w:hint="default"/>
        <w:lang w:val="en-US" w:eastAsia="en-US" w:bidi="en-US"/>
      </w:rPr>
    </w:lvl>
    <w:lvl w:ilvl="6" w:tplc="EF74F370">
      <w:numFmt w:val="bullet"/>
      <w:lvlText w:val="•"/>
      <w:lvlJc w:val="left"/>
      <w:pPr>
        <w:ind w:left="6040" w:hanging="361"/>
      </w:pPr>
      <w:rPr>
        <w:rFonts w:hint="default"/>
        <w:lang w:val="en-US" w:eastAsia="en-US" w:bidi="en-US"/>
      </w:rPr>
    </w:lvl>
    <w:lvl w:ilvl="7" w:tplc="BA700100">
      <w:numFmt w:val="bullet"/>
      <w:lvlText w:val="•"/>
      <w:lvlJc w:val="left"/>
      <w:pPr>
        <w:ind w:left="7056" w:hanging="361"/>
      </w:pPr>
      <w:rPr>
        <w:rFonts w:hint="default"/>
        <w:lang w:val="en-US" w:eastAsia="en-US" w:bidi="en-US"/>
      </w:rPr>
    </w:lvl>
    <w:lvl w:ilvl="8" w:tplc="B9AC802C">
      <w:numFmt w:val="bullet"/>
      <w:lvlText w:val="•"/>
      <w:lvlJc w:val="left"/>
      <w:pPr>
        <w:ind w:left="8072" w:hanging="361"/>
      </w:pPr>
      <w:rPr>
        <w:rFonts w:hint="default"/>
        <w:lang w:val="en-US" w:eastAsia="en-US" w:bidi="en-US"/>
      </w:rPr>
    </w:lvl>
  </w:abstractNum>
  <w:abstractNum w:abstractNumId="3" w15:restartNumberingAfterBreak="0">
    <w:nsid w:val="67626E5F"/>
    <w:multiLevelType w:val="hybridMultilevel"/>
    <w:tmpl w:val="217E5902"/>
    <w:lvl w:ilvl="0" w:tplc="2946DBB0">
      <w:numFmt w:val="bullet"/>
      <w:lvlText w:val="–"/>
      <w:lvlJc w:val="left"/>
      <w:pPr>
        <w:ind w:left="417" w:hanging="185"/>
      </w:pPr>
      <w:rPr>
        <w:rFonts w:ascii="Arial" w:eastAsia="Arial" w:hAnsi="Arial" w:cs="Arial" w:hint="default"/>
        <w:b/>
        <w:bCs/>
        <w:i/>
        <w:color w:val="212121"/>
        <w:w w:val="100"/>
        <w:sz w:val="22"/>
        <w:szCs w:val="22"/>
        <w:lang w:val="en-US" w:eastAsia="en-US" w:bidi="en-US"/>
      </w:rPr>
    </w:lvl>
    <w:lvl w:ilvl="1" w:tplc="A970C20C">
      <w:numFmt w:val="bullet"/>
      <w:lvlText w:val="•"/>
      <w:lvlJc w:val="left"/>
      <w:pPr>
        <w:ind w:left="1388" w:hanging="185"/>
      </w:pPr>
      <w:rPr>
        <w:rFonts w:hint="default"/>
        <w:lang w:val="en-US" w:eastAsia="en-US" w:bidi="en-US"/>
      </w:rPr>
    </w:lvl>
    <w:lvl w:ilvl="2" w:tplc="C368E6A6">
      <w:numFmt w:val="bullet"/>
      <w:lvlText w:val="•"/>
      <w:lvlJc w:val="left"/>
      <w:pPr>
        <w:ind w:left="2356" w:hanging="185"/>
      </w:pPr>
      <w:rPr>
        <w:rFonts w:hint="default"/>
        <w:lang w:val="en-US" w:eastAsia="en-US" w:bidi="en-US"/>
      </w:rPr>
    </w:lvl>
    <w:lvl w:ilvl="3" w:tplc="ED463B04">
      <w:numFmt w:val="bullet"/>
      <w:lvlText w:val="•"/>
      <w:lvlJc w:val="left"/>
      <w:pPr>
        <w:ind w:left="3325" w:hanging="185"/>
      </w:pPr>
      <w:rPr>
        <w:rFonts w:hint="default"/>
        <w:lang w:val="en-US" w:eastAsia="en-US" w:bidi="en-US"/>
      </w:rPr>
    </w:lvl>
    <w:lvl w:ilvl="4" w:tplc="96525346">
      <w:numFmt w:val="bullet"/>
      <w:lvlText w:val="•"/>
      <w:lvlJc w:val="left"/>
      <w:pPr>
        <w:ind w:left="4293" w:hanging="185"/>
      </w:pPr>
      <w:rPr>
        <w:rFonts w:hint="default"/>
        <w:lang w:val="en-US" w:eastAsia="en-US" w:bidi="en-US"/>
      </w:rPr>
    </w:lvl>
    <w:lvl w:ilvl="5" w:tplc="1C90113C">
      <w:numFmt w:val="bullet"/>
      <w:lvlText w:val="•"/>
      <w:lvlJc w:val="left"/>
      <w:pPr>
        <w:ind w:left="5262" w:hanging="185"/>
      </w:pPr>
      <w:rPr>
        <w:rFonts w:hint="default"/>
        <w:lang w:val="en-US" w:eastAsia="en-US" w:bidi="en-US"/>
      </w:rPr>
    </w:lvl>
    <w:lvl w:ilvl="6" w:tplc="928816D6">
      <w:numFmt w:val="bullet"/>
      <w:lvlText w:val="•"/>
      <w:lvlJc w:val="left"/>
      <w:pPr>
        <w:ind w:left="6230" w:hanging="185"/>
      </w:pPr>
      <w:rPr>
        <w:rFonts w:hint="default"/>
        <w:lang w:val="en-US" w:eastAsia="en-US" w:bidi="en-US"/>
      </w:rPr>
    </w:lvl>
    <w:lvl w:ilvl="7" w:tplc="5720B7AE">
      <w:numFmt w:val="bullet"/>
      <w:lvlText w:val="•"/>
      <w:lvlJc w:val="left"/>
      <w:pPr>
        <w:ind w:left="7198" w:hanging="185"/>
      </w:pPr>
      <w:rPr>
        <w:rFonts w:hint="default"/>
        <w:lang w:val="en-US" w:eastAsia="en-US" w:bidi="en-US"/>
      </w:rPr>
    </w:lvl>
    <w:lvl w:ilvl="8" w:tplc="2C40ED16">
      <w:numFmt w:val="bullet"/>
      <w:lvlText w:val="•"/>
      <w:lvlJc w:val="left"/>
      <w:pPr>
        <w:ind w:left="8167" w:hanging="185"/>
      </w:pPr>
      <w:rPr>
        <w:rFonts w:hint="default"/>
        <w:lang w:val="en-US" w:eastAsia="en-US" w:bidi="en-US"/>
      </w:rPr>
    </w:lvl>
  </w:abstractNum>
  <w:abstractNum w:abstractNumId="4" w15:restartNumberingAfterBreak="0">
    <w:nsid w:val="6DEE246B"/>
    <w:multiLevelType w:val="hybridMultilevel"/>
    <w:tmpl w:val="899CCE88"/>
    <w:lvl w:ilvl="0" w:tplc="EFD2DA76">
      <w:start w:val="1"/>
      <w:numFmt w:val="decimal"/>
      <w:lvlText w:val="%1."/>
      <w:lvlJc w:val="left"/>
      <w:pPr>
        <w:ind w:left="520" w:hanging="289"/>
        <w:jc w:val="left"/>
      </w:pPr>
      <w:rPr>
        <w:rFonts w:ascii="Arial" w:eastAsia="Arial" w:hAnsi="Arial" w:cs="Arial" w:hint="default"/>
        <w:b/>
        <w:bCs/>
        <w:spacing w:val="-1"/>
        <w:w w:val="99"/>
        <w:sz w:val="26"/>
        <w:szCs w:val="26"/>
        <w:lang w:val="en-US" w:eastAsia="en-US" w:bidi="en-US"/>
      </w:rPr>
    </w:lvl>
    <w:lvl w:ilvl="1" w:tplc="9DC62EC0">
      <w:numFmt w:val="bullet"/>
      <w:lvlText w:val="●"/>
      <w:lvlJc w:val="left"/>
      <w:pPr>
        <w:ind w:left="953" w:hanging="361"/>
      </w:pPr>
      <w:rPr>
        <w:rFonts w:ascii="Arial" w:eastAsia="Arial" w:hAnsi="Arial" w:cs="Arial" w:hint="default"/>
        <w:w w:val="100"/>
        <w:sz w:val="22"/>
        <w:szCs w:val="22"/>
        <w:lang w:val="en-US" w:eastAsia="en-US" w:bidi="en-US"/>
      </w:rPr>
    </w:lvl>
    <w:lvl w:ilvl="2" w:tplc="DB5048A0">
      <w:numFmt w:val="bullet"/>
      <w:lvlText w:val="•"/>
      <w:lvlJc w:val="left"/>
      <w:pPr>
        <w:ind w:left="1976" w:hanging="361"/>
      </w:pPr>
      <w:rPr>
        <w:rFonts w:hint="default"/>
        <w:lang w:val="en-US" w:eastAsia="en-US" w:bidi="en-US"/>
      </w:rPr>
    </w:lvl>
    <w:lvl w:ilvl="3" w:tplc="73888FDE">
      <w:numFmt w:val="bullet"/>
      <w:lvlText w:val="•"/>
      <w:lvlJc w:val="left"/>
      <w:pPr>
        <w:ind w:left="2992" w:hanging="361"/>
      </w:pPr>
      <w:rPr>
        <w:rFonts w:hint="default"/>
        <w:lang w:val="en-US" w:eastAsia="en-US" w:bidi="en-US"/>
      </w:rPr>
    </w:lvl>
    <w:lvl w:ilvl="4" w:tplc="D90E82F8">
      <w:numFmt w:val="bullet"/>
      <w:lvlText w:val="•"/>
      <w:lvlJc w:val="left"/>
      <w:pPr>
        <w:ind w:left="4008" w:hanging="361"/>
      </w:pPr>
      <w:rPr>
        <w:rFonts w:hint="default"/>
        <w:lang w:val="en-US" w:eastAsia="en-US" w:bidi="en-US"/>
      </w:rPr>
    </w:lvl>
    <w:lvl w:ilvl="5" w:tplc="E1EA9204">
      <w:numFmt w:val="bullet"/>
      <w:lvlText w:val="•"/>
      <w:lvlJc w:val="left"/>
      <w:pPr>
        <w:ind w:left="5024" w:hanging="361"/>
      </w:pPr>
      <w:rPr>
        <w:rFonts w:hint="default"/>
        <w:lang w:val="en-US" w:eastAsia="en-US" w:bidi="en-US"/>
      </w:rPr>
    </w:lvl>
    <w:lvl w:ilvl="6" w:tplc="3C06120C">
      <w:numFmt w:val="bullet"/>
      <w:lvlText w:val="•"/>
      <w:lvlJc w:val="left"/>
      <w:pPr>
        <w:ind w:left="6040" w:hanging="361"/>
      </w:pPr>
      <w:rPr>
        <w:rFonts w:hint="default"/>
        <w:lang w:val="en-US" w:eastAsia="en-US" w:bidi="en-US"/>
      </w:rPr>
    </w:lvl>
    <w:lvl w:ilvl="7" w:tplc="9DFAE988">
      <w:numFmt w:val="bullet"/>
      <w:lvlText w:val="•"/>
      <w:lvlJc w:val="left"/>
      <w:pPr>
        <w:ind w:left="7056" w:hanging="361"/>
      </w:pPr>
      <w:rPr>
        <w:rFonts w:hint="default"/>
        <w:lang w:val="en-US" w:eastAsia="en-US" w:bidi="en-US"/>
      </w:rPr>
    </w:lvl>
    <w:lvl w:ilvl="8" w:tplc="B12209DC">
      <w:numFmt w:val="bullet"/>
      <w:lvlText w:val="•"/>
      <w:lvlJc w:val="left"/>
      <w:pPr>
        <w:ind w:left="8072" w:hanging="361"/>
      </w:pPr>
      <w:rPr>
        <w:rFonts w:hint="default"/>
        <w:lang w:val="en-US" w:eastAsia="en-US" w:bidi="en-US"/>
      </w:rPr>
    </w:lvl>
  </w:abstractNum>
  <w:abstractNum w:abstractNumId="5" w15:restartNumberingAfterBreak="0">
    <w:nsid w:val="7A514AD1"/>
    <w:multiLevelType w:val="hybridMultilevel"/>
    <w:tmpl w:val="F2CC0F60"/>
    <w:lvl w:ilvl="0" w:tplc="55760674">
      <w:numFmt w:val="bullet"/>
      <w:lvlText w:val="–"/>
      <w:lvlJc w:val="left"/>
      <w:pPr>
        <w:ind w:left="417" w:hanging="185"/>
      </w:pPr>
      <w:rPr>
        <w:rFonts w:ascii="Arial" w:eastAsia="Arial" w:hAnsi="Arial" w:cs="Arial" w:hint="default"/>
        <w:b/>
        <w:bCs/>
        <w:w w:val="100"/>
        <w:sz w:val="22"/>
        <w:szCs w:val="22"/>
        <w:lang w:val="en-US" w:eastAsia="en-US" w:bidi="en-US"/>
      </w:rPr>
    </w:lvl>
    <w:lvl w:ilvl="1" w:tplc="0F244662">
      <w:numFmt w:val="bullet"/>
      <w:lvlText w:val="●"/>
      <w:lvlJc w:val="left"/>
      <w:pPr>
        <w:ind w:left="1312" w:hanging="360"/>
      </w:pPr>
      <w:rPr>
        <w:rFonts w:ascii="Times New Roman" w:eastAsia="Times New Roman" w:hAnsi="Times New Roman" w:cs="Times New Roman" w:hint="default"/>
        <w:w w:val="99"/>
        <w:sz w:val="20"/>
        <w:szCs w:val="20"/>
        <w:lang w:val="en-US" w:eastAsia="en-US" w:bidi="en-US"/>
      </w:rPr>
    </w:lvl>
    <w:lvl w:ilvl="2" w:tplc="6D7E0BF4">
      <w:numFmt w:val="bullet"/>
      <w:lvlText w:val="•"/>
      <w:lvlJc w:val="left"/>
      <w:pPr>
        <w:ind w:left="2296" w:hanging="360"/>
      </w:pPr>
      <w:rPr>
        <w:rFonts w:hint="default"/>
        <w:lang w:val="en-US" w:eastAsia="en-US" w:bidi="en-US"/>
      </w:rPr>
    </w:lvl>
    <w:lvl w:ilvl="3" w:tplc="DE389488">
      <w:numFmt w:val="bullet"/>
      <w:lvlText w:val="•"/>
      <w:lvlJc w:val="left"/>
      <w:pPr>
        <w:ind w:left="3272" w:hanging="360"/>
      </w:pPr>
      <w:rPr>
        <w:rFonts w:hint="default"/>
        <w:lang w:val="en-US" w:eastAsia="en-US" w:bidi="en-US"/>
      </w:rPr>
    </w:lvl>
    <w:lvl w:ilvl="4" w:tplc="BF747FBE">
      <w:numFmt w:val="bullet"/>
      <w:lvlText w:val="•"/>
      <w:lvlJc w:val="left"/>
      <w:pPr>
        <w:ind w:left="4248" w:hanging="360"/>
      </w:pPr>
      <w:rPr>
        <w:rFonts w:hint="default"/>
        <w:lang w:val="en-US" w:eastAsia="en-US" w:bidi="en-US"/>
      </w:rPr>
    </w:lvl>
    <w:lvl w:ilvl="5" w:tplc="09AC8362">
      <w:numFmt w:val="bullet"/>
      <w:lvlText w:val="•"/>
      <w:lvlJc w:val="left"/>
      <w:pPr>
        <w:ind w:left="5224" w:hanging="360"/>
      </w:pPr>
      <w:rPr>
        <w:rFonts w:hint="default"/>
        <w:lang w:val="en-US" w:eastAsia="en-US" w:bidi="en-US"/>
      </w:rPr>
    </w:lvl>
    <w:lvl w:ilvl="6" w:tplc="BA887754">
      <w:numFmt w:val="bullet"/>
      <w:lvlText w:val="•"/>
      <w:lvlJc w:val="left"/>
      <w:pPr>
        <w:ind w:left="6200" w:hanging="360"/>
      </w:pPr>
      <w:rPr>
        <w:rFonts w:hint="default"/>
        <w:lang w:val="en-US" w:eastAsia="en-US" w:bidi="en-US"/>
      </w:rPr>
    </w:lvl>
    <w:lvl w:ilvl="7" w:tplc="34842260">
      <w:numFmt w:val="bullet"/>
      <w:lvlText w:val="•"/>
      <w:lvlJc w:val="left"/>
      <w:pPr>
        <w:ind w:left="7176" w:hanging="360"/>
      </w:pPr>
      <w:rPr>
        <w:rFonts w:hint="default"/>
        <w:lang w:val="en-US" w:eastAsia="en-US" w:bidi="en-US"/>
      </w:rPr>
    </w:lvl>
    <w:lvl w:ilvl="8" w:tplc="35C89EFA">
      <w:numFmt w:val="bullet"/>
      <w:lvlText w:val="•"/>
      <w:lvlJc w:val="left"/>
      <w:pPr>
        <w:ind w:left="8152" w:hanging="360"/>
      </w:pPr>
      <w:rPr>
        <w:rFonts w:hint="default"/>
        <w:lang w:val="en-US" w:eastAsia="en-US" w:bidi="en-US"/>
      </w:rPr>
    </w:lvl>
  </w:abstractNum>
  <w:abstractNum w:abstractNumId="6" w15:restartNumberingAfterBreak="0">
    <w:nsid w:val="7B3C09C8"/>
    <w:multiLevelType w:val="hybridMultilevel"/>
    <w:tmpl w:val="C7CEAF4A"/>
    <w:lvl w:ilvl="0" w:tplc="5CA81BC2">
      <w:numFmt w:val="bullet"/>
      <w:lvlText w:val="●"/>
      <w:lvlJc w:val="left"/>
      <w:pPr>
        <w:ind w:left="876" w:hanging="361"/>
      </w:pPr>
      <w:rPr>
        <w:rFonts w:ascii="Times New Roman" w:eastAsia="Times New Roman" w:hAnsi="Times New Roman" w:cs="Times New Roman" w:hint="default"/>
        <w:w w:val="100"/>
        <w:sz w:val="22"/>
        <w:szCs w:val="22"/>
        <w:lang w:val="en-US" w:eastAsia="en-US" w:bidi="en-US"/>
      </w:rPr>
    </w:lvl>
    <w:lvl w:ilvl="1" w:tplc="4DBA44F6">
      <w:numFmt w:val="bullet"/>
      <w:lvlText w:val="•"/>
      <w:lvlJc w:val="left"/>
      <w:pPr>
        <w:ind w:left="1802" w:hanging="361"/>
      </w:pPr>
      <w:rPr>
        <w:rFonts w:hint="default"/>
        <w:lang w:val="en-US" w:eastAsia="en-US" w:bidi="en-US"/>
      </w:rPr>
    </w:lvl>
    <w:lvl w:ilvl="2" w:tplc="EF343F96">
      <w:numFmt w:val="bullet"/>
      <w:lvlText w:val="•"/>
      <w:lvlJc w:val="left"/>
      <w:pPr>
        <w:ind w:left="2724" w:hanging="361"/>
      </w:pPr>
      <w:rPr>
        <w:rFonts w:hint="default"/>
        <w:lang w:val="en-US" w:eastAsia="en-US" w:bidi="en-US"/>
      </w:rPr>
    </w:lvl>
    <w:lvl w:ilvl="3" w:tplc="BC443290">
      <w:numFmt w:val="bullet"/>
      <w:lvlText w:val="•"/>
      <w:lvlJc w:val="left"/>
      <w:pPr>
        <w:ind w:left="3647" w:hanging="361"/>
      </w:pPr>
      <w:rPr>
        <w:rFonts w:hint="default"/>
        <w:lang w:val="en-US" w:eastAsia="en-US" w:bidi="en-US"/>
      </w:rPr>
    </w:lvl>
    <w:lvl w:ilvl="4" w:tplc="2AAC56D0">
      <w:numFmt w:val="bullet"/>
      <w:lvlText w:val="•"/>
      <w:lvlJc w:val="left"/>
      <w:pPr>
        <w:ind w:left="4569" w:hanging="361"/>
      </w:pPr>
      <w:rPr>
        <w:rFonts w:hint="default"/>
        <w:lang w:val="en-US" w:eastAsia="en-US" w:bidi="en-US"/>
      </w:rPr>
    </w:lvl>
    <w:lvl w:ilvl="5" w:tplc="01E2BB5E">
      <w:numFmt w:val="bullet"/>
      <w:lvlText w:val="•"/>
      <w:lvlJc w:val="left"/>
      <w:pPr>
        <w:ind w:left="5492" w:hanging="361"/>
      </w:pPr>
      <w:rPr>
        <w:rFonts w:hint="default"/>
        <w:lang w:val="en-US" w:eastAsia="en-US" w:bidi="en-US"/>
      </w:rPr>
    </w:lvl>
    <w:lvl w:ilvl="6" w:tplc="C010C584">
      <w:numFmt w:val="bullet"/>
      <w:lvlText w:val="•"/>
      <w:lvlJc w:val="left"/>
      <w:pPr>
        <w:ind w:left="6414" w:hanging="361"/>
      </w:pPr>
      <w:rPr>
        <w:rFonts w:hint="default"/>
        <w:lang w:val="en-US" w:eastAsia="en-US" w:bidi="en-US"/>
      </w:rPr>
    </w:lvl>
    <w:lvl w:ilvl="7" w:tplc="E454206A">
      <w:numFmt w:val="bullet"/>
      <w:lvlText w:val="•"/>
      <w:lvlJc w:val="left"/>
      <w:pPr>
        <w:ind w:left="7336" w:hanging="361"/>
      </w:pPr>
      <w:rPr>
        <w:rFonts w:hint="default"/>
        <w:lang w:val="en-US" w:eastAsia="en-US" w:bidi="en-US"/>
      </w:rPr>
    </w:lvl>
    <w:lvl w:ilvl="8" w:tplc="D54E9E98">
      <w:numFmt w:val="bullet"/>
      <w:lvlText w:val="•"/>
      <w:lvlJc w:val="left"/>
      <w:pPr>
        <w:ind w:left="8259" w:hanging="361"/>
      </w:pPr>
      <w:rPr>
        <w:rFonts w:hint="default"/>
        <w:lang w:val="en-US" w:eastAsia="en-US" w:bidi="en-US"/>
      </w:rPr>
    </w:lvl>
  </w:abstractNum>
  <w:abstractNum w:abstractNumId="7" w15:restartNumberingAfterBreak="0">
    <w:nsid w:val="7BFA7D08"/>
    <w:multiLevelType w:val="hybridMultilevel"/>
    <w:tmpl w:val="F5F69AA0"/>
    <w:lvl w:ilvl="0" w:tplc="646A994E">
      <w:start w:val="1"/>
      <w:numFmt w:val="decimal"/>
      <w:lvlText w:val="%1."/>
      <w:lvlJc w:val="left"/>
      <w:pPr>
        <w:ind w:left="854" w:hanging="221"/>
        <w:jc w:val="left"/>
      </w:pPr>
      <w:rPr>
        <w:rFonts w:ascii="Arial" w:eastAsia="Arial" w:hAnsi="Arial" w:cs="Arial" w:hint="default"/>
        <w:spacing w:val="-1"/>
        <w:w w:val="99"/>
        <w:sz w:val="20"/>
        <w:szCs w:val="20"/>
        <w:lang w:val="en-US" w:eastAsia="en-US" w:bidi="en-US"/>
      </w:rPr>
    </w:lvl>
    <w:lvl w:ilvl="1" w:tplc="B30EBB40">
      <w:numFmt w:val="bullet"/>
      <w:lvlText w:val="•"/>
      <w:lvlJc w:val="left"/>
      <w:pPr>
        <w:ind w:left="1784" w:hanging="221"/>
      </w:pPr>
      <w:rPr>
        <w:rFonts w:hint="default"/>
        <w:lang w:val="en-US" w:eastAsia="en-US" w:bidi="en-US"/>
      </w:rPr>
    </w:lvl>
    <w:lvl w:ilvl="2" w:tplc="2DCA0B00">
      <w:numFmt w:val="bullet"/>
      <w:lvlText w:val="•"/>
      <w:lvlJc w:val="left"/>
      <w:pPr>
        <w:ind w:left="2708" w:hanging="221"/>
      </w:pPr>
      <w:rPr>
        <w:rFonts w:hint="default"/>
        <w:lang w:val="en-US" w:eastAsia="en-US" w:bidi="en-US"/>
      </w:rPr>
    </w:lvl>
    <w:lvl w:ilvl="3" w:tplc="43407E6E">
      <w:numFmt w:val="bullet"/>
      <w:lvlText w:val="•"/>
      <w:lvlJc w:val="left"/>
      <w:pPr>
        <w:ind w:left="3633" w:hanging="221"/>
      </w:pPr>
      <w:rPr>
        <w:rFonts w:hint="default"/>
        <w:lang w:val="en-US" w:eastAsia="en-US" w:bidi="en-US"/>
      </w:rPr>
    </w:lvl>
    <w:lvl w:ilvl="4" w:tplc="B61E289A">
      <w:numFmt w:val="bullet"/>
      <w:lvlText w:val="•"/>
      <w:lvlJc w:val="left"/>
      <w:pPr>
        <w:ind w:left="4557" w:hanging="221"/>
      </w:pPr>
      <w:rPr>
        <w:rFonts w:hint="default"/>
        <w:lang w:val="en-US" w:eastAsia="en-US" w:bidi="en-US"/>
      </w:rPr>
    </w:lvl>
    <w:lvl w:ilvl="5" w:tplc="13BED1E8">
      <w:numFmt w:val="bullet"/>
      <w:lvlText w:val="•"/>
      <w:lvlJc w:val="left"/>
      <w:pPr>
        <w:ind w:left="5482" w:hanging="221"/>
      </w:pPr>
      <w:rPr>
        <w:rFonts w:hint="default"/>
        <w:lang w:val="en-US" w:eastAsia="en-US" w:bidi="en-US"/>
      </w:rPr>
    </w:lvl>
    <w:lvl w:ilvl="6" w:tplc="2A626DDA">
      <w:numFmt w:val="bullet"/>
      <w:lvlText w:val="•"/>
      <w:lvlJc w:val="left"/>
      <w:pPr>
        <w:ind w:left="6406" w:hanging="221"/>
      </w:pPr>
      <w:rPr>
        <w:rFonts w:hint="default"/>
        <w:lang w:val="en-US" w:eastAsia="en-US" w:bidi="en-US"/>
      </w:rPr>
    </w:lvl>
    <w:lvl w:ilvl="7" w:tplc="D26E85A2">
      <w:numFmt w:val="bullet"/>
      <w:lvlText w:val="•"/>
      <w:lvlJc w:val="left"/>
      <w:pPr>
        <w:ind w:left="7330" w:hanging="221"/>
      </w:pPr>
      <w:rPr>
        <w:rFonts w:hint="default"/>
        <w:lang w:val="en-US" w:eastAsia="en-US" w:bidi="en-US"/>
      </w:rPr>
    </w:lvl>
    <w:lvl w:ilvl="8" w:tplc="F94A1EEC">
      <w:numFmt w:val="bullet"/>
      <w:lvlText w:val="•"/>
      <w:lvlJc w:val="left"/>
      <w:pPr>
        <w:ind w:left="8255" w:hanging="221"/>
      </w:pPr>
      <w:rPr>
        <w:rFonts w:hint="default"/>
        <w:lang w:val="en-US" w:eastAsia="en-US" w:bidi="en-US"/>
      </w:rPr>
    </w:lvl>
  </w:abstractNum>
  <w:num w:numId="1">
    <w:abstractNumId w:val="6"/>
  </w:num>
  <w:num w:numId="2">
    <w:abstractNumId w:val="4"/>
  </w:num>
  <w:num w:numId="3">
    <w:abstractNumId w:val="2"/>
  </w:num>
  <w:num w:numId="4">
    <w:abstractNumId w:val="1"/>
  </w:num>
  <w:num w:numId="5">
    <w:abstractNumId w:val="3"/>
  </w:num>
  <w:num w:numId="6">
    <w:abstractNumId w:val="5"/>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83C"/>
    <w:rsid w:val="000A2A0E"/>
    <w:rsid w:val="00AC683C"/>
    <w:rsid w:val="00FD215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8E5C4E"/>
  <w15:docId w15:val="{F9C0CE92-67EC-42AD-9414-4BEF9C0CD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bidi="en-US"/>
    </w:rPr>
  </w:style>
  <w:style w:type="paragraph" w:styleId="Ttol1">
    <w:name w:val="heading 1"/>
    <w:basedOn w:val="Normal"/>
    <w:uiPriority w:val="1"/>
    <w:qFormat/>
    <w:pPr>
      <w:ind w:left="232"/>
      <w:outlineLvl w:val="0"/>
    </w:pPr>
    <w:rPr>
      <w:b/>
      <w:bCs/>
      <w:sz w:val="30"/>
      <w:szCs w:val="30"/>
    </w:rPr>
  </w:style>
  <w:style w:type="paragraph" w:styleId="Ttol2">
    <w:name w:val="heading 2"/>
    <w:basedOn w:val="Normal"/>
    <w:uiPriority w:val="1"/>
    <w:qFormat/>
    <w:pPr>
      <w:spacing w:before="181"/>
      <w:ind w:left="232"/>
      <w:outlineLvl w:val="1"/>
    </w:pPr>
    <w:rPr>
      <w:b/>
      <w:bCs/>
      <w:sz w:val="24"/>
      <w:szCs w:val="24"/>
    </w:rPr>
  </w:style>
  <w:style w:type="paragraph" w:styleId="Ttol3">
    <w:name w:val="heading 3"/>
    <w:basedOn w:val="Normal"/>
    <w:uiPriority w:val="1"/>
    <w:qFormat/>
    <w:pPr>
      <w:spacing w:before="113"/>
      <w:ind w:left="232"/>
      <w:outlineLvl w:val="2"/>
    </w:pPr>
    <w:rPr>
      <w:rFonts w:ascii="Trebuchet MS" w:eastAsia="Trebuchet MS" w:hAnsi="Trebuchet MS" w:cs="Trebuchet MS"/>
      <w:b/>
      <w:bCs/>
    </w:rPr>
  </w:style>
  <w:style w:type="paragraph" w:styleId="Ttol4">
    <w:name w:val="heading 4"/>
    <w:basedOn w:val="Normal"/>
    <w:uiPriority w:val="1"/>
    <w:qFormat/>
    <w:pPr>
      <w:spacing w:before="179"/>
      <w:ind w:left="417" w:hanging="186"/>
      <w:outlineLvl w:val="3"/>
    </w:pPr>
    <w:rPr>
      <w:b/>
      <w:bCs/>
      <w:i/>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IDC1">
    <w:name w:val="toc 1"/>
    <w:basedOn w:val="Normal"/>
    <w:uiPriority w:val="1"/>
    <w:qFormat/>
    <w:pPr>
      <w:spacing w:before="99"/>
      <w:ind w:right="245"/>
      <w:jc w:val="right"/>
    </w:pPr>
    <w:rPr>
      <w:sz w:val="20"/>
      <w:szCs w:val="20"/>
    </w:rPr>
  </w:style>
  <w:style w:type="paragraph" w:styleId="Textindependent">
    <w:name w:val="Body Text"/>
    <w:basedOn w:val="Normal"/>
    <w:uiPriority w:val="1"/>
    <w:qFormat/>
    <w:pPr>
      <w:ind w:left="232"/>
    </w:pPr>
  </w:style>
  <w:style w:type="paragraph" w:styleId="Pargrafdellista">
    <w:name w:val="List Paragraph"/>
    <w:basedOn w:val="Normal"/>
    <w:uiPriority w:val="1"/>
    <w:qFormat/>
    <w:pPr>
      <w:ind w:left="952" w:hanging="361"/>
    </w:pPr>
  </w:style>
  <w:style w:type="paragraph" w:customStyle="1" w:styleId="TableParagraph">
    <w:name w:val="Table Paragraph"/>
    <w:basedOn w:val="Normal"/>
    <w:uiPriority w:val="1"/>
    <w:qFormat/>
  </w:style>
  <w:style w:type="paragraph" w:styleId="Capalera">
    <w:name w:val="header"/>
    <w:basedOn w:val="Normal"/>
    <w:link w:val="CapaleraCar"/>
    <w:uiPriority w:val="99"/>
    <w:unhideWhenUsed/>
    <w:rsid w:val="000A2A0E"/>
    <w:pPr>
      <w:tabs>
        <w:tab w:val="center" w:pos="4252"/>
        <w:tab w:val="right" w:pos="8504"/>
      </w:tabs>
    </w:pPr>
  </w:style>
  <w:style w:type="character" w:customStyle="1" w:styleId="CapaleraCar">
    <w:name w:val="Capçalera Car"/>
    <w:basedOn w:val="Tipusdelletraperdefectedelpargraf"/>
    <w:link w:val="Capalera"/>
    <w:uiPriority w:val="99"/>
    <w:rsid w:val="000A2A0E"/>
    <w:rPr>
      <w:rFonts w:ascii="Arial" w:eastAsia="Arial" w:hAnsi="Arial" w:cs="Arial"/>
      <w:lang w:bidi="en-US"/>
    </w:rPr>
  </w:style>
  <w:style w:type="paragraph" w:styleId="Peu">
    <w:name w:val="footer"/>
    <w:basedOn w:val="Normal"/>
    <w:link w:val="PeuCar"/>
    <w:uiPriority w:val="99"/>
    <w:unhideWhenUsed/>
    <w:rsid w:val="000A2A0E"/>
    <w:pPr>
      <w:tabs>
        <w:tab w:val="center" w:pos="4252"/>
        <w:tab w:val="right" w:pos="8504"/>
      </w:tabs>
    </w:pPr>
  </w:style>
  <w:style w:type="character" w:customStyle="1" w:styleId="PeuCar">
    <w:name w:val="Peu Car"/>
    <w:basedOn w:val="Tipusdelletraperdefectedelpargraf"/>
    <w:link w:val="Peu"/>
    <w:uiPriority w:val="99"/>
    <w:rsid w:val="000A2A0E"/>
    <w:rPr>
      <w:rFonts w:ascii="Arial" w:eastAsia="Arial" w:hAnsi="Arial" w:cs="Arial"/>
      <w:lang w:bidi="en-US"/>
    </w:rPr>
  </w:style>
  <w:style w:type="character" w:styleId="Enlla">
    <w:name w:val="Hyperlink"/>
    <w:basedOn w:val="Tipusdelletraperdefectedelpargraf"/>
    <w:uiPriority w:val="99"/>
    <w:unhideWhenUsed/>
    <w:rsid w:val="000A2A0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info@coretrustseal.org" TargetMode="External"/><Relationship Id="rId18" Type="http://schemas.openxmlformats.org/officeDocument/2006/relationships/hyperlink" Target="https://creativecommons.org/"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s://doi.org/10.7207/twr14-02" TargetMode="External"/><Relationship Id="rId17" Type="http://schemas.openxmlformats.org/officeDocument/2006/relationships/hyperlink" Target="http://www.re3data.org/" TargetMode="External"/><Relationship Id="rId2" Type="http://schemas.openxmlformats.org/officeDocument/2006/relationships/styles" Target="styles.xml"/><Relationship Id="rId16" Type="http://schemas.openxmlformats.org/officeDocument/2006/relationships/hyperlink" Target="http://www.re3data.org/" TargetMode="External"/><Relationship Id="rId20" Type="http://schemas.openxmlformats.org/officeDocument/2006/relationships/hyperlink" Target="http://www.repositoryaudit.e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7207/twr14-02" TargetMode="External"/><Relationship Id="rId5" Type="http://schemas.openxmlformats.org/officeDocument/2006/relationships/footnotes" Target="footnotes.xml"/><Relationship Id="rId15" Type="http://schemas.openxmlformats.org/officeDocument/2006/relationships/hyperlink" Target="https://ddd.uab.cat/?ln=en" TargetMode="External"/><Relationship Id="rId10" Type="http://schemas.openxmlformats.org/officeDocument/2006/relationships/hyperlink" Target="https://doi.org/10.5281/zenodo.3632563" TargetMode="External"/><Relationship Id="rId19" Type="http://schemas.openxmlformats.org/officeDocument/2006/relationships/hyperlink" Target="https://creativecommons.org/"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uab.cat/web/our-collections/uab-digital-repository-of-documents-1345777080660.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26</Pages>
  <Words>6129</Words>
  <Characters>33710</Characters>
  <Application>Microsoft Office Word</Application>
  <DocSecurity>0</DocSecurity>
  <Lines>280</Lines>
  <Paragraphs>79</Paragraphs>
  <ScaleCrop>false</ScaleCrop>
  <HeadingPairs>
    <vt:vector size="2" baseType="variant">
      <vt:variant>
        <vt:lpstr>Títol</vt:lpstr>
      </vt:variant>
      <vt:variant>
        <vt:i4>1</vt:i4>
      </vt:variant>
    </vt:vector>
  </HeadingPairs>
  <TitlesOfParts>
    <vt:vector size="1" baseType="lpstr">
      <vt:lpstr>CoreTrustSeal Trustworthy Data Repositories Requirements: Extended Guidance 2020–2022</vt:lpstr>
    </vt:vector>
  </TitlesOfParts>
  <Company/>
  <LinksUpToDate>false</LinksUpToDate>
  <CharactersWithSpaces>39760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CoreTrustSeal Trustworthy Data Repositories Requirements: Extended Guidance 2020–2022</dc:title>
  <dc:creator>CoreTrustSeal Standards &amp; Certification Board</dc:creator>
  <cp:lastModifiedBy>Cristina Azorín Millaruelo</cp:lastModifiedBy>
  <cp:revision>2</cp:revision>
  <dcterms:created xsi:type="dcterms:W3CDTF">2021-01-13T14:57:00Z</dcterms:created>
  <dcterms:modified xsi:type="dcterms:W3CDTF">2021-01-13T14:57:00Z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2020-02-04T00:00:00Z</vt:filetime>
  </property>
  <property fmtid="{D5CDD505-2E9C-101B-9397-08002B2CF9AE}" pid="3" name="Creator">
    <vt:lpwstr>Acrobat PDFMaker 17 for Word</vt:lpwstr>
  </property>
  <property fmtid="{D5CDD505-2E9C-101B-9397-08002B2CF9AE}" pid="4" name="LastSaved">
    <vt:filetime>2021-01-13T00:00:00Z</vt:filetime>
  </property>
</Properties>
</file>